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黑体" w:hAnsi="仿宋" w:eastAsia="黑体"/>
          <w:color w:val="000000"/>
          <w:sz w:val="32"/>
          <w:szCs w:val="32"/>
        </w:rPr>
      </w:pPr>
    </w:p>
    <w:p>
      <w:pPr>
        <w:jc w:val="center"/>
        <w:rPr>
          <w:rFonts w:ascii="仿宋" w:hAnsi="仿宋" w:eastAsia="仿宋"/>
          <w:color w:val="000000"/>
          <w:sz w:val="20"/>
        </w:rPr>
      </w:pPr>
      <w:r>
        <w:rPr>
          <w:rFonts w:hint="eastAsia" w:ascii="方正小标宋简体" w:eastAsia="方正小标宋简体"/>
          <w:b/>
          <w:color w:val="000000"/>
          <w:sz w:val="36"/>
          <w:szCs w:val="36"/>
          <w:lang w:val="en-US" w:eastAsia="zh-CN"/>
        </w:rPr>
        <w:t>阿荣旗向阳峪</w:t>
      </w:r>
      <w:r>
        <w:rPr>
          <w:rFonts w:hint="eastAsia" w:ascii="方正小标宋简体" w:eastAsia="方正小标宋简体"/>
          <w:b/>
          <w:color w:val="000000"/>
          <w:sz w:val="36"/>
          <w:szCs w:val="36"/>
          <w:lang w:eastAsia="zh-CN"/>
        </w:rPr>
        <w:t>镇综合行政执法局综合行政执法事项清单</w:t>
      </w:r>
    </w:p>
    <w:tbl>
      <w:tblPr>
        <w:tblStyle w:val="4"/>
        <w:tblW w:w="12359" w:type="dxa"/>
        <w:jc w:val="center"/>
        <w:tblInd w:w="0" w:type="dxa"/>
        <w:tblLayout w:type="fixed"/>
        <w:tblCellMar>
          <w:top w:w="0" w:type="dxa"/>
          <w:left w:w="0" w:type="dxa"/>
          <w:bottom w:w="0" w:type="dxa"/>
          <w:right w:w="0" w:type="dxa"/>
        </w:tblCellMar>
      </w:tblPr>
      <w:tblGrid>
        <w:gridCol w:w="683"/>
        <w:gridCol w:w="1999"/>
        <w:gridCol w:w="1076"/>
        <w:gridCol w:w="6910"/>
        <w:gridCol w:w="1691"/>
      </w:tblGrid>
      <w:tr>
        <w:tblPrEx>
          <w:tblLayout w:type="fixed"/>
          <w:tblCellMar>
            <w:top w:w="0" w:type="dxa"/>
            <w:left w:w="0" w:type="dxa"/>
            <w:bottom w:w="0" w:type="dxa"/>
            <w:right w:w="0" w:type="dxa"/>
          </w:tblCellMar>
        </w:tblPrEx>
        <w:trPr>
          <w:trHeight w:val="5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bCs w:val="0"/>
                <w:color w:val="000000"/>
                <w:sz w:val="21"/>
                <w:szCs w:val="21"/>
                <w:lang w:val="en-US" w:eastAsia="zh-CN"/>
              </w:rPr>
            </w:pPr>
            <w:r>
              <w:rPr>
                <w:rFonts w:hint="eastAsia" w:eastAsia="方正仿宋简体"/>
                <w:b/>
                <w:bCs w:val="0"/>
                <w:color w:val="000000"/>
                <w:sz w:val="21"/>
                <w:szCs w:val="21"/>
                <w:lang w:val="en-US" w:eastAsia="zh-CN"/>
              </w:rPr>
              <w:t>序号</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ind w:firstLine="422" w:firstLineChars="200"/>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事项名称</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职权类型</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after="240" w:line="300" w:lineRule="exact"/>
              <w:jc w:val="center"/>
              <w:rPr>
                <w:rFonts w:hint="eastAsia" w:eastAsia="方正仿宋简体"/>
                <w:b/>
                <w:bCs w:val="0"/>
                <w:color w:val="000000"/>
                <w:sz w:val="21"/>
                <w:szCs w:val="21"/>
                <w:lang w:val="en-US" w:eastAsia="zh-CN"/>
              </w:rPr>
            </w:pPr>
            <w:r>
              <w:rPr>
                <w:rFonts w:hint="eastAsia" w:eastAsia="方正仿宋简体"/>
                <w:b/>
                <w:bCs w:val="0"/>
                <w:color w:val="000000"/>
                <w:sz w:val="21"/>
                <w:szCs w:val="21"/>
                <w:lang w:val="en-US" w:eastAsia="zh-CN"/>
              </w:rPr>
              <w:t>执法依据</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备注</w:t>
            </w:r>
          </w:p>
        </w:tc>
      </w:tr>
      <w:tr>
        <w:tblPrEx>
          <w:tblLayout w:type="fixed"/>
          <w:tblCellMar>
            <w:top w:w="0" w:type="dxa"/>
            <w:left w:w="0" w:type="dxa"/>
            <w:bottom w:w="0" w:type="dxa"/>
            <w:right w:w="0" w:type="dxa"/>
          </w:tblCellMar>
        </w:tblPrEx>
        <w:trPr>
          <w:trHeight w:val="500"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一、法律（</w:t>
            </w:r>
            <w:r>
              <w:rPr>
                <w:rFonts w:hint="eastAsia" w:ascii="黑体" w:hAnsi="黑体" w:eastAsia="黑体" w:cs="黑体"/>
                <w:b/>
                <w:color w:val="000000"/>
                <w:sz w:val="28"/>
                <w:szCs w:val="28"/>
                <w:lang w:val="en-US" w:eastAsia="zh-CN"/>
              </w:rPr>
              <w:t>1-23</w:t>
            </w:r>
            <w:r>
              <w:rPr>
                <w:rFonts w:hint="eastAsia" w:ascii="黑体" w:hAnsi="黑体" w:eastAsia="黑体" w:cs="黑体"/>
                <w:b/>
                <w:color w:val="000000"/>
                <w:sz w:val="28"/>
                <w:szCs w:val="28"/>
                <w:lang w:eastAsia="zh-CN"/>
              </w:rPr>
              <w:t>）</w:t>
            </w:r>
          </w:p>
        </w:tc>
      </w:tr>
      <w:tr>
        <w:tblPrEx>
          <w:tblLayout w:type="fixed"/>
          <w:tblCellMar>
            <w:top w:w="0" w:type="dxa"/>
            <w:left w:w="0" w:type="dxa"/>
            <w:bottom w:w="0" w:type="dxa"/>
            <w:right w:w="0" w:type="dxa"/>
          </w:tblCellMar>
        </w:tblPrEx>
        <w:trPr>
          <w:trHeight w:val="165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val="en-US" w:eastAsia="zh-CN"/>
              </w:rPr>
              <w:t>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hint="eastAsia" w:eastAsia="方正仿宋简体"/>
                <w:b/>
                <w:color w:val="000000"/>
                <w:sz w:val="18"/>
                <w:szCs w:val="18"/>
              </w:rPr>
              <w:t> 对城乡规划编制单位未依法取得资质证书承揽城乡规划编制工作的处罚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after="240" w:line="300" w:lineRule="exact"/>
              <w:rPr>
                <w:rFonts w:eastAsia="方正仿宋简体"/>
                <w:b/>
                <w:color w:val="000000"/>
                <w:sz w:val="18"/>
                <w:szCs w:val="18"/>
              </w:rPr>
            </w:pPr>
            <w:r>
              <w:rPr>
                <w:rFonts w:hint="eastAsia" w:eastAsia="方正仿宋简体"/>
                <w:b/>
                <w:color w:val="000000"/>
                <w:sz w:val="18"/>
                <w:szCs w:val="18"/>
              </w:rPr>
              <w:t xml:space="preserve">《中华人民共和国城乡规划法》 第六十二条第二款 </w:t>
            </w:r>
          </w:p>
          <w:p>
            <w:pPr>
              <w:spacing w:after="240" w:line="300" w:lineRule="exact"/>
              <w:rPr>
                <w:rFonts w:eastAsia="方正仿宋简体"/>
                <w:b/>
                <w:color w:val="000000"/>
                <w:sz w:val="18"/>
                <w:szCs w:val="18"/>
              </w:rPr>
            </w:pPr>
            <w:r>
              <w:rPr>
                <w:rFonts w:hint="eastAsia" w:eastAsia="方正仿宋简体"/>
                <w:b/>
                <w:color w:val="000000"/>
                <w:sz w:val="18"/>
                <w:szCs w:val="18"/>
              </w:rPr>
              <w:t xml:space="preserve">《城市规划编制单位资质管理规定》第三十一条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238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对占用耕地建窑、建坟或者擅自在耕地上建房、挖砂、采石、采矿、取土等，破坏种植条件的，或者因开发土地造成土地荒漠化、盐渍化的处罚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五</w:t>
            </w:r>
            <w:r>
              <w:rPr>
                <w:rFonts w:eastAsia="方正仿宋简体"/>
                <w:b/>
                <w:color w:val="000000"/>
                <w:sz w:val="18"/>
                <w:szCs w:val="18"/>
              </w:rPr>
              <w:t xml:space="preserve">条 </w:t>
            </w:r>
          </w:p>
          <w:p>
            <w:pPr>
              <w:spacing w:line="300" w:lineRule="exact"/>
              <w:rPr>
                <w:rFonts w:eastAsia="方正仿宋简体"/>
                <w:b/>
                <w:color w:val="000000"/>
                <w:sz w:val="18"/>
                <w:szCs w:val="18"/>
              </w:rPr>
            </w:pPr>
            <w:r>
              <w:rPr>
                <w:rFonts w:eastAsia="方正仿宋简体"/>
                <w:b/>
                <w:color w:val="000000"/>
                <w:sz w:val="18"/>
                <w:szCs w:val="18"/>
              </w:rPr>
              <w:t>《中华人民共和国土地管理法实施条例》第</w:t>
            </w:r>
            <w:r>
              <w:rPr>
                <w:rFonts w:hint="eastAsia" w:eastAsia="方正仿宋简体"/>
                <w:b/>
                <w:color w:val="000000"/>
                <w:sz w:val="18"/>
                <w:szCs w:val="18"/>
                <w:lang w:eastAsia="zh-CN"/>
              </w:rPr>
              <w:t>五十五</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7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w:t>
            </w:r>
          </w:p>
          <w:p>
            <w:pPr>
              <w:spacing w:line="300" w:lineRule="exact"/>
              <w:jc w:val="center"/>
              <w:rPr>
                <w:rFonts w:hint="eastAsia" w:eastAsia="方正仿宋简体"/>
                <w:b/>
                <w:color w:val="000000"/>
                <w:sz w:val="18"/>
                <w:szCs w:val="18"/>
                <w:lang w:val="en-US" w:eastAsia="zh-CN"/>
              </w:rPr>
            </w:pP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对未经批准或者采取欺骗手段骗取批准，非法占用土地的处罚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七</w:t>
            </w:r>
            <w:r>
              <w:rPr>
                <w:rFonts w:eastAsia="方正仿宋简体"/>
                <w:b/>
                <w:color w:val="000000"/>
                <w:sz w:val="18"/>
                <w:szCs w:val="18"/>
              </w:rPr>
              <w:t xml:space="preserve">条 </w:t>
            </w:r>
          </w:p>
          <w:p>
            <w:pPr>
              <w:spacing w:line="300" w:lineRule="exact"/>
              <w:rPr>
                <w:rFonts w:eastAsia="方正仿宋简体"/>
                <w:b/>
                <w:color w:val="000000"/>
                <w:sz w:val="18"/>
                <w:szCs w:val="18"/>
              </w:rPr>
            </w:pPr>
            <w:r>
              <w:rPr>
                <w:rFonts w:eastAsia="方正仿宋简体"/>
                <w:b/>
                <w:color w:val="000000"/>
                <w:sz w:val="18"/>
                <w:szCs w:val="18"/>
              </w:rPr>
              <w:t>《中华人民共和国土地管理法实施条例》第</w:t>
            </w:r>
            <w:r>
              <w:rPr>
                <w:rFonts w:hint="eastAsia" w:eastAsia="方正仿宋简体"/>
                <w:b/>
                <w:color w:val="000000"/>
                <w:sz w:val="18"/>
                <w:szCs w:val="18"/>
                <w:lang w:eastAsia="zh-CN"/>
              </w:rPr>
              <w:t>五十七</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5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w:t>
            </w:r>
          </w:p>
          <w:p>
            <w:pPr>
              <w:spacing w:line="300" w:lineRule="exact"/>
              <w:jc w:val="center"/>
              <w:rPr>
                <w:rFonts w:hint="eastAsia" w:eastAsia="方正仿宋简体"/>
                <w:b/>
                <w:color w:val="000000"/>
                <w:sz w:val="18"/>
                <w:szCs w:val="18"/>
                <w:lang w:val="en-US" w:eastAsia="zh-CN"/>
              </w:rPr>
            </w:pP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对农村村民未经批准或者采取欺骗手段骗取批准，非法占用土地建住宅的处罚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八</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22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对占用基本农田建窑、建房、建坟、挖砂、采石、采矿、取土、堆放固体废弃物或者从事其他活动破坏基本农田，毁坏种植条件的处罚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《基本农田保护条例》第三十三条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22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对擅自在草原上开展经营性旅游活动，破坏草原植被的处罚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《中华人民共和国草原法》第五十二条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第六十九条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对买卖或者以其他形式非法转让草原的处罚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《中华人民共和国草原法》第六十四条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22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对非法开垦草原的处罚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《中华人民共和国草原法》第六十六条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223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对在荒漠、半荒漠和严重退化、沙化、盐碱化、石漠化、水土流失的草原，以及生态脆弱区的草原上采挖植物或者从事破坏草原植被的其他活动的处罚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《中华人民共和国草原法》第六十七条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78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对未经批准或者未按照规定的时间、区域和采挖方式在草原上进行采土、采砂、采石等活动的处罚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《中华人民共和国草原法》第六十八条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对离开道路在草原上行驶或者未按照确认的行驶区域和行驶路线在草原上行驶，破坏草原植被的处罚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《中华人民共和国草原法》第七十条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对行人、乘车人、非机动车驾驶人违反道路交通安全法律、法规关于道路通行规定的处罚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《中华人民共和国道路交通安全法》第八十九条 </w:t>
            </w:r>
          </w:p>
          <w:p>
            <w:pPr>
              <w:spacing w:line="300" w:lineRule="exact"/>
              <w:rPr>
                <w:rFonts w:eastAsia="方正仿宋简体"/>
                <w:b/>
                <w:color w:val="000000"/>
                <w:sz w:val="18"/>
                <w:szCs w:val="18"/>
              </w:rPr>
            </w:pP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对违反机动车停放、临时停车规定且驾驶人不在现场或者驾驶人虽在现场但拒绝立即驶离，妨碍其他车辆、行人通行的处罚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《中华人民共和国道路交通安全法》第九十三条 </w:t>
            </w:r>
          </w:p>
          <w:p>
            <w:pPr>
              <w:spacing w:line="300" w:lineRule="exact"/>
              <w:rPr>
                <w:rFonts w:eastAsia="方正仿宋简体"/>
                <w:b/>
                <w:color w:val="000000"/>
                <w:sz w:val="18"/>
                <w:szCs w:val="18"/>
              </w:rPr>
            </w:pPr>
            <w:r>
              <w:rPr>
                <w:rFonts w:eastAsia="方正仿宋简体"/>
                <w:b/>
                <w:color w:val="000000"/>
                <w:sz w:val="18"/>
                <w:szCs w:val="18"/>
              </w:rPr>
              <w:t>《内蒙古自治区实施</w:t>
            </w:r>
            <w:r>
              <w:rPr>
                <w:rFonts w:hint="eastAsia" w:ascii="方正仿宋简体" w:hAnsi="方正仿宋简体" w:eastAsia="方正仿宋简体"/>
                <w:b/>
                <w:color w:val="000000"/>
                <w:sz w:val="18"/>
                <w:szCs w:val="18"/>
              </w:rPr>
              <w:t>&lt;</w:t>
            </w:r>
            <w:r>
              <w:rPr>
                <w:rFonts w:eastAsia="方正仿宋简体"/>
                <w:b/>
                <w:color w:val="000000"/>
                <w:sz w:val="18"/>
                <w:szCs w:val="18"/>
              </w:rPr>
              <w:t>中华人民共和国道路交通安全法</w:t>
            </w:r>
            <w:r>
              <w:rPr>
                <w:rFonts w:hint="eastAsia" w:ascii="方正仿宋简体" w:hAnsi="方正仿宋简体" w:eastAsia="方正仿宋简体"/>
                <w:b/>
                <w:color w:val="000000"/>
                <w:sz w:val="18"/>
                <w:szCs w:val="18"/>
              </w:rPr>
              <w:t>&gt;</w:t>
            </w:r>
            <w:r>
              <w:rPr>
                <w:rFonts w:eastAsia="方正仿宋简体"/>
                <w:b/>
                <w:color w:val="000000"/>
                <w:sz w:val="18"/>
                <w:szCs w:val="18"/>
              </w:rPr>
              <w:t>办法》第五十八条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对河道、湖泊管理范围内建设妨碍行洪的建筑物、构筑物的处罚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《中华人民共和国防洪法》第五十</w:t>
            </w:r>
            <w:r>
              <w:rPr>
                <w:rFonts w:hint="eastAsia" w:eastAsia="方正仿宋简体"/>
                <w:b/>
                <w:color w:val="000000"/>
                <w:sz w:val="18"/>
                <w:szCs w:val="18"/>
              </w:rPr>
              <w:t>五</w:t>
            </w:r>
            <w:r>
              <w:rPr>
                <w:rFonts w:eastAsia="方正仿宋简体"/>
                <w:b/>
                <w:color w:val="000000"/>
                <w:sz w:val="18"/>
                <w:szCs w:val="18"/>
              </w:rPr>
              <w:t>条</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2213"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对在河道、湖泊管理范围内倾倒垃圾、渣土，从事影响河势稳定、危害河岸堤防安全和其他妨碍河道行洪的活动的处罚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《中华人民共和国防洪法》第五十</w:t>
            </w:r>
            <w:r>
              <w:rPr>
                <w:rFonts w:hint="eastAsia" w:eastAsia="方正仿宋简体"/>
                <w:b/>
                <w:color w:val="000000"/>
                <w:sz w:val="18"/>
                <w:szCs w:val="18"/>
              </w:rPr>
              <w:t>五</w:t>
            </w:r>
            <w:r>
              <w:rPr>
                <w:rFonts w:eastAsia="方正仿宋简体"/>
                <w:b/>
                <w:color w:val="000000"/>
                <w:sz w:val="18"/>
                <w:szCs w:val="18"/>
              </w:rPr>
              <w:t>条</w:t>
            </w:r>
            <w:r>
              <w:rPr>
                <w:rFonts w:hint="eastAsia" w:eastAsia="方正仿宋简体"/>
                <w:b/>
                <w:color w:val="000000"/>
                <w:sz w:val="18"/>
                <w:szCs w:val="18"/>
              </w:rPr>
              <w:t xml:space="preserve"> </w:t>
            </w:r>
            <w:r>
              <w:rPr>
                <w:rFonts w:eastAsia="方正仿宋简体"/>
                <w:b/>
                <w:color w:val="000000"/>
                <w:sz w:val="18"/>
                <w:szCs w:val="18"/>
              </w:rPr>
              <w:t>违</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对在江河、湖泊、水库、运河、渠道内弃置、堆放阻碍行洪的物体和种植阻碍行洪的林木及高秆作物以及围湖造地或者未经批准围垦河道的处罚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《中华人民共和国水法》第六十六条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对未经批准擅自取水，或者未按照批准的取水许可规定条件取水的处罚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《中华人民共和国水法》第六十九条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对在崩塌、滑坡危险区或者泥石流易发区从事取土、挖砂、采石等可能造成水土流失的活动的处罚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《中华人民共和国水土保持法》第四十八条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对在禁止开垦坡度以上陡坡地开垦种植农作物，或者在禁止开垦、开发的植物保护带内开垦、开发的处罚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《中华人民共和国水土保持法》第四十九条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2303"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对采集发菜，或者在水土流失重点预防区和重点治理区铲草皮、挖树兜、滥挖虫草、甘草、麻黄等的处罚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《中华人民共和国水土保持法》第五十一条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对在林区采伐林木不依法采取防止水土流失措施的处罚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对在水土保持方案确定的专门存放地以外的区域倾倒砂、石、土、矸石、尾矿、废渣等的处罚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对开办生产建设项目或者从事其他生产建设活动造成水土流失的处罚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463"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二、行政法规、地方性法规（</w:t>
            </w:r>
            <w:r>
              <w:rPr>
                <w:rFonts w:hint="eastAsia" w:ascii="黑体" w:hAnsi="黑体" w:eastAsia="黑体" w:cs="黑体"/>
                <w:b/>
                <w:color w:val="000000"/>
                <w:sz w:val="28"/>
                <w:szCs w:val="28"/>
                <w:lang w:val="en-US" w:eastAsia="zh-CN"/>
              </w:rPr>
              <w:t>24-59</w:t>
            </w:r>
            <w:r>
              <w:rPr>
                <w:rFonts w:hint="eastAsia" w:ascii="黑体" w:hAnsi="黑体" w:eastAsia="黑体" w:cs="黑体"/>
                <w:b/>
                <w:color w:val="000000"/>
                <w:sz w:val="28"/>
                <w:szCs w:val="28"/>
                <w:lang w:eastAsia="zh-CN"/>
              </w:rPr>
              <w:t>）</w:t>
            </w:r>
          </w:p>
        </w:tc>
      </w:tr>
      <w:tr>
        <w:tblPrEx>
          <w:tblLayout w:type="fixed"/>
          <w:tblCellMar>
            <w:top w:w="0" w:type="dxa"/>
            <w:left w:w="0" w:type="dxa"/>
            <w:bottom w:w="0" w:type="dxa"/>
            <w:right w:w="0" w:type="dxa"/>
          </w:tblCellMar>
        </w:tblPrEx>
        <w:trPr>
          <w:trHeight w:val="202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tabs>
                <w:tab w:val="left" w:pos="303"/>
              </w:tabs>
              <w:spacing w:line="300" w:lineRule="exact"/>
              <w:jc w:val="left"/>
              <w:rPr>
                <w:rFonts w:hint="default" w:eastAsia="方正仿宋简体"/>
                <w:b/>
                <w:color w:val="000000"/>
                <w:sz w:val="18"/>
                <w:szCs w:val="18"/>
                <w:lang w:val="en-US" w:eastAsia="zh-CN"/>
              </w:rPr>
            </w:pPr>
            <w:r>
              <w:rPr>
                <w:rFonts w:hint="eastAsia" w:eastAsia="方正仿宋简体"/>
                <w:b/>
                <w:color w:val="000000"/>
                <w:sz w:val="18"/>
                <w:szCs w:val="18"/>
                <w:lang w:val="en-US" w:eastAsia="zh-CN"/>
              </w:rPr>
              <w:tab/>
            </w:r>
            <w:r>
              <w:rPr>
                <w:rFonts w:hint="eastAsia" w:eastAsia="方正仿宋简体"/>
                <w:b/>
                <w:color w:val="000000"/>
                <w:sz w:val="18"/>
                <w:szCs w:val="18"/>
                <w:lang w:val="en-US" w:eastAsia="zh-CN"/>
              </w:rPr>
              <w:t>24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hint="eastAsia" w:eastAsia="方正仿宋简体"/>
                <w:b/>
                <w:color w:val="000000"/>
                <w:sz w:val="18"/>
                <w:szCs w:val="18"/>
                <w:lang w:eastAsia="zh-CN"/>
              </w:rPr>
              <w:t>未经批准或者不按照河道主管机关的规定在河道范围内采砂、取土、淘金、弃置砂石或者淤泥、爆破、钻探、挖筑鱼塘的</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cs="Times New Roman"/>
                <w:b/>
                <w:color w:val="000000"/>
                <w:kern w:val="2"/>
                <w:sz w:val="18"/>
                <w:szCs w:val="18"/>
                <w:lang w:val="en-US" w:eastAsia="zh-CN" w:bidi="ar-SA"/>
              </w:rPr>
              <w:t>受阿荣旗水利局委托（2021年6月-2022年6月）</w:t>
            </w:r>
          </w:p>
        </w:tc>
      </w:tr>
      <w:tr>
        <w:tblPrEx>
          <w:tblLayout w:type="fixed"/>
          <w:tblCellMar>
            <w:top w:w="0" w:type="dxa"/>
            <w:left w:w="0" w:type="dxa"/>
            <w:bottom w:w="0" w:type="dxa"/>
            <w:right w:w="0" w:type="dxa"/>
          </w:tblCellMar>
        </w:tblPrEx>
        <w:trPr>
          <w:trHeight w:val="179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未对设在城市道路上的各种管线的检查井、箱盖或者城市道路附属设施的缺损及时补缺或者修复的处罚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20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对未在城市道路施工现场设置明显标志和安全防围设施的处罚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192"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对占用城市道路期满或者挖掘城市道路后，不及时清理现场的处罚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2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对依附于城市道路建设各种管线、杆线等设施，不按照规定办理批准手续的处罚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201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对紧急抢修埋设在城市道路下的管线，不按照规定补办批准手续的处罚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203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对未按照批准的位置、面积、期限占用或者挖掘城市道路，或者需要移动位置、扩大面积、延长时间的，未提前办理变更审批手续的处罚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9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对在河道管理范围内弃置、堆放阻碍行洪物体的；种植阻碍行洪的林木或者高杆植物的；修建围堤、阻水渠道、阻水道路的处罚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9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对在堤防、护堤地建房、放牧、开渠、打井、挖窖、葬坟、晒粮、存放物料、开采地下资源、进行考古发掘以及开展集市贸易活动的处罚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对擅自砍伐护堤护岸林木的处罚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73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对在堤防安全保护区内进行打井、钻探、爆破、挖筑鱼塘、采石、取土等危害堤防安全的活动的处罚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86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对侵占、破坏水源和抗旱设施的处罚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《中华人民共和国抗旱条例》第六十一条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对在城市人民政府规定的街道的临街建筑物的阳台和窗外，堆放、吊挂有碍市容的物品的处罚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《城市市容和环境卫生管理条例》第三十四条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对损坏城市树木花草的处罚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220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对擅自砍伐城市树木的处罚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hint="eastAsia" w:eastAsia="方正仿宋简体"/>
                <w:b/>
                <w:color w:val="000000"/>
                <w:sz w:val="18"/>
                <w:szCs w:val="18"/>
                <w:lang w:eastAsia="zh-CN"/>
              </w:rPr>
              <w:t>《</w:t>
            </w: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对砍伐、擅自迁移古树名木或者因养护不善致使古树名木受到损伤或者死亡的处罚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对损坏城市绿化设施的处罚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对未经同意擅自占用城市绿化用地的处罚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《城市绿化条例》第二十七条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287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对不移交有关</w:t>
            </w:r>
            <w:r>
              <w:rPr>
                <w:rFonts w:hint="eastAsia" w:eastAsia="方正仿宋简体"/>
                <w:b/>
                <w:color w:val="000000"/>
                <w:sz w:val="18"/>
                <w:szCs w:val="18"/>
              </w:rPr>
              <w:t>物业管理</w:t>
            </w:r>
            <w:r>
              <w:rPr>
                <w:rFonts w:eastAsia="方正仿宋简体"/>
                <w:b/>
                <w:color w:val="000000"/>
                <w:sz w:val="18"/>
                <w:szCs w:val="18"/>
              </w:rPr>
              <w:t>资料的处罚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《中华人民共和国物业管理条例》第五十八条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对物业服务企业将一个物业管理区域内的全部物业管理一并委托给他人的处罚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《中华人民共和国物业管理条例》第五十九条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对未经业主大会同意，物业服务企业擅自改变物业管理用房的用途的处罚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《中华人民共和国物业管理条例》第六十二条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对擅自改变物业管理区域内按照规划建设的公共建筑和共用设施用途的处罚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《中华人民共和国物业管理条例》第六十三条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283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对擅自占用、挖掘物业管理区域内道路、场地，损害业主共同利益的处罚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《中华人民共和国物业管理条例》第六十三条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对擅自利用物业共用部位、共用设施设备进行经营的处罚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《中华人民共和国物业管理条例》第六十三条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hint="eastAsia" w:eastAsia="方正仿宋简体"/>
                <w:b/>
                <w:color w:val="000000"/>
                <w:sz w:val="18"/>
                <w:szCs w:val="18"/>
              </w:rPr>
              <w:t>对违法超限运输的货运车辆、货运车辆驾驶人及道路运输企业的行政处罚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hint="eastAsia" w:eastAsia="方正仿宋简体"/>
                <w:b/>
                <w:color w:val="000000"/>
                <w:sz w:val="18"/>
                <w:szCs w:val="18"/>
              </w:rPr>
              <w:t>《公路安全保护条例》第六十六条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对不签订草畜平衡责任书的处罚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《内蒙古自治区草原管理条例》第三十一条 </w:t>
            </w:r>
            <w:r>
              <w:rPr>
                <w:rFonts w:eastAsia="方正仿宋简体"/>
                <w:b/>
                <w:color w:val="000000"/>
                <w:spacing w:val="-10"/>
                <w:sz w:val="18"/>
                <w:szCs w:val="18"/>
              </w:rPr>
              <w:t xml:space="preserve">第四十六条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292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对违法实施草原建设项目、建设小面积人工草地及建设旱作人工草地的处罚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《内蒙古自治区草原管理条例》第三十三条 第三十四条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第四十八条 </w:t>
            </w:r>
            <w:r>
              <w:rPr>
                <w:rFonts w:hint="eastAsia" w:eastAsia="方正仿宋简体"/>
                <w:b/>
                <w:color w:val="000000"/>
                <w:sz w:val="18"/>
                <w:szCs w:val="18"/>
                <w:lang w:val="en-US" w:eastAsia="zh-CN"/>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对采集、收购、加工、销售发菜和采集、收购带根野生麻黄草的处罚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《内蒙古自治区草原管理条例》第三十六条</w:t>
            </w:r>
            <w:r>
              <w:rPr>
                <w:rFonts w:hint="eastAsia" w:eastAsia="方正仿宋简体"/>
                <w:b/>
                <w:color w:val="000000"/>
                <w:sz w:val="18"/>
                <w:szCs w:val="18"/>
              </w:rPr>
              <w:t>第一款</w:t>
            </w:r>
            <w:r>
              <w:rPr>
                <w:rFonts w:hint="eastAsia" w:eastAsia="方正仿宋简体"/>
                <w:b/>
                <w:color w:val="000000"/>
                <w:sz w:val="18"/>
                <w:szCs w:val="18"/>
                <w:lang w:val="en-US" w:eastAsia="zh-CN"/>
              </w:rPr>
              <w:t xml:space="preserve"> </w:t>
            </w:r>
            <w:r>
              <w:rPr>
                <w:rFonts w:hint="eastAsia" w:eastAsia="方正仿宋简体"/>
                <w:b/>
                <w:color w:val="000000"/>
                <w:sz w:val="18"/>
                <w:szCs w:val="18"/>
              </w:rPr>
              <w:t xml:space="preserve"> </w:t>
            </w:r>
            <w:r>
              <w:rPr>
                <w:rFonts w:eastAsia="方正仿宋简体"/>
                <w:b/>
                <w:color w:val="000000"/>
                <w:sz w:val="18"/>
                <w:szCs w:val="18"/>
              </w:rPr>
              <w:t>第三十七条</w:t>
            </w:r>
            <w:r>
              <w:rPr>
                <w:rFonts w:hint="eastAsia" w:eastAsia="方正仿宋简体"/>
                <w:b/>
                <w:color w:val="000000"/>
                <w:sz w:val="18"/>
                <w:szCs w:val="18"/>
              </w:rPr>
              <w:t xml:space="preserve">第二款 </w:t>
            </w:r>
            <w:r>
              <w:rPr>
                <w:rFonts w:hint="eastAsia" w:eastAsia="方正仿宋简体"/>
                <w:b/>
                <w:color w:val="000000"/>
                <w:sz w:val="18"/>
                <w:szCs w:val="18"/>
                <w:lang w:val="en-US" w:eastAsia="zh-CN"/>
              </w:rPr>
              <w:t xml:space="preserve"> </w:t>
            </w:r>
            <w:r>
              <w:rPr>
                <w:rFonts w:eastAsia="方正仿宋简体"/>
                <w:b/>
                <w:color w:val="000000"/>
                <w:sz w:val="18"/>
                <w:szCs w:val="18"/>
              </w:rPr>
              <w:t>第四十九条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对未取得草原野生植物采集、收购许可证或者未按照采集、收购许可证的规定采集、收购草原野生植物的处罚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《内蒙古自治区基本草原保护条例》第二十四条 第四十条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对破坏基本草原行为的处罚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310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对在基本草原上超过核定的载畜量放牧的处罚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《内蒙古自治区基本草原保护条例》第三十八条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对在实行禁牧休牧的基本草原上放牧的处罚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《内蒙古自治区基本草原保护条例》第三十八条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 xml:space="preserve">对饲草饲料基地建设不符合基本草原规划或者饲草饲料种植种类不符合规定的处罚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《内蒙古自治区基本草原保护条例》第三十九条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对不自觉维护公共卫生，不爱护公共卫生设施的处罚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《内蒙古自治区爱国卫生条例》第十五条</w:t>
            </w:r>
            <w:r>
              <w:rPr>
                <w:rFonts w:hint="eastAsia" w:eastAsia="方正仿宋简体"/>
                <w:b/>
                <w:color w:val="000000"/>
                <w:sz w:val="18"/>
                <w:szCs w:val="18"/>
                <w:lang w:val="en-US" w:eastAsia="zh-CN"/>
              </w:rPr>
              <w:t xml:space="preserve"> </w:t>
            </w:r>
            <w:r>
              <w:rPr>
                <w:rFonts w:eastAsia="方正仿宋简体"/>
                <w:b/>
                <w:color w:val="000000"/>
                <w:sz w:val="18"/>
                <w:szCs w:val="18"/>
              </w:rPr>
              <w:t>第二十五条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311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对未按规定实行包门前卫生、包绿化美化硬化、包管理的</w:t>
            </w:r>
            <w:r>
              <w:rPr>
                <w:rFonts w:hint="eastAsia" w:eastAsia="方正仿宋简体"/>
                <w:b/>
                <w:color w:val="000000"/>
                <w:sz w:val="18"/>
                <w:szCs w:val="18"/>
              </w:rPr>
              <w:t>“</w:t>
            </w:r>
            <w:r>
              <w:rPr>
                <w:rFonts w:eastAsia="方正仿宋简体"/>
                <w:b/>
                <w:color w:val="000000"/>
                <w:sz w:val="18"/>
                <w:szCs w:val="18"/>
              </w:rPr>
              <w:t>门前三包</w:t>
            </w:r>
            <w:r>
              <w:rPr>
                <w:rFonts w:hint="eastAsia" w:eastAsia="方正仿宋简体"/>
                <w:b/>
                <w:color w:val="000000"/>
                <w:sz w:val="18"/>
                <w:szCs w:val="18"/>
              </w:rPr>
              <w:t>”</w:t>
            </w:r>
            <w:r>
              <w:rPr>
                <w:rFonts w:eastAsia="方正仿宋简体"/>
                <w:b/>
                <w:color w:val="000000"/>
                <w:sz w:val="18"/>
                <w:szCs w:val="18"/>
              </w:rPr>
              <w:t>制度的处罚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《内蒙古自治区爱国卫生条例》第十六条 第二十五条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对城市市区内饲养家禽家畜的处罚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《内蒙古自治区爱国卫生条例》第十八条 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746"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三、部门规章（</w:t>
            </w:r>
            <w:r>
              <w:rPr>
                <w:rFonts w:hint="eastAsia" w:ascii="黑体" w:hAnsi="黑体" w:eastAsia="黑体" w:cs="黑体"/>
                <w:b/>
                <w:color w:val="000000"/>
                <w:sz w:val="28"/>
                <w:szCs w:val="28"/>
                <w:lang w:val="en-US" w:eastAsia="zh-CN"/>
              </w:rPr>
              <w:t>60-81</w:t>
            </w:r>
            <w:r>
              <w:rPr>
                <w:rFonts w:hint="eastAsia" w:ascii="黑体" w:hAnsi="黑体" w:eastAsia="黑体" w:cs="黑体"/>
                <w:b/>
                <w:color w:val="000000"/>
                <w:sz w:val="28"/>
                <w:szCs w:val="28"/>
                <w:lang w:eastAsia="zh-CN"/>
              </w:rPr>
              <w:t>）</w:t>
            </w:r>
          </w:p>
        </w:tc>
      </w:tr>
      <w:tr>
        <w:tblPrEx>
          <w:tblLayout w:type="fixed"/>
          <w:tblCellMar>
            <w:top w:w="0" w:type="dxa"/>
            <w:left w:w="0" w:type="dxa"/>
            <w:bottom w:w="0" w:type="dxa"/>
            <w:right w:w="0" w:type="dxa"/>
          </w:tblCellMar>
        </w:tblPrEx>
        <w:trPr>
          <w:trHeight w:val="95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对将建筑垃圾混入生活垃圾的处罚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1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对将危险废物混入建筑垃圾的处罚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9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对擅自设立弃置场受纳建筑垃圾的处罚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38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对施工单位未及时清运工程施工过程中产生的建筑垃圾造成环境污染的处罚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《城市建筑垃圾管理规定》第二十二条第一款</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82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对施工单位将建筑垃圾交给个人或者未经核准从事建筑垃圾运输的单位处置的处罚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《城市建筑垃圾管理规定》第二十二条第二款</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32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对处置建筑垃圾的单位在运输建筑垃圾过程中沿途丢弃、遗撒建筑垃圾的处罚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55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对涂改、倒卖、出租、出借或者以其他形式非法转让城市建筑垃圾处置核准文件的处罚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《城市建筑垃圾管理规定》第二十四条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04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对未经核准擅自处置建筑垃圾的处罚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95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对处置超出核准范围的建筑垃圾的处罚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80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对单位和个人随意倾倒、抛撒或者堆放建筑垃圾的处罚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88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对在城市照明设施上刻划、涂污的处罚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210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对在城市照明设施安全距离内，擅自植树、挖坑取土或者设置其他物体，或者倾倒含酸、碱、盐等腐蚀物或者具有腐蚀性的废渣、废液的处罚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对擅自在城市照明设施上张贴、悬挂、设置宣传品、广告的处罚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《城市照明管理规定》第二十八条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43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对擅自在城市照明设施上架设线缆、安置其他设施或者接用电源的处罚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96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对擅自迁移、拆除、利用城市照明设施的处罚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《城市照明管理规定》第二十八条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12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对其他可能影响城市照明设施正常运行的行为的处罚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46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对草原围栏建设中因阻断道路对草原造成碾压破坏的处罚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《内蒙古自治区草原管理条例实施细则》第四十五条 第五十二条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1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对在城市建筑物、设施以及树木上涂写、刻画或者未经批准张挂、张贴宣传品等的处罚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1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对不按规定的时间、地点、方式，倾倒垃圾、污水粪便的处罚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8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对临街工地不设置护栏或者不作遮挡、停工场地不及时整理并作必要覆盖或者竣工后不及时清理和平整场地，影响市容和环境卫生的处罚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10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80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对擅自设置大型户外广告标牌设施，影响市容的处罚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74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81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对擅自在街道两侧和公共场地堆放物料，搭建建筑物、构筑物或者其他设施，影响市容的处罚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《内蒙古自治区城市市容和环境卫生违法行为处罚规定》第五条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方正小标宋简体">
    <w:altName w:val="微软雅黑"/>
    <w:panose1 w:val="02010601030101010101"/>
    <w:charset w:val="86"/>
    <w:family w:val="script"/>
    <w:pitch w:val="default"/>
    <w:sig w:usb0="00000000" w:usb1="00000000" w:usb2="00000000" w:usb3="00000000" w:csb0="00040000" w:csb1="00000000"/>
  </w:font>
  <w:font w:name="方正仿宋简体">
    <w:altName w:val="宋体"/>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zODNkMjE4NjQzNGFiYTcyZWQwMWI1M2RkMjMwZjMifQ=="/>
  </w:docVars>
  <w:rsids>
    <w:rsidRoot w:val="713B15A3"/>
    <w:rsid w:val="031B1D8D"/>
    <w:rsid w:val="03205FF8"/>
    <w:rsid w:val="06076A1E"/>
    <w:rsid w:val="0BAD3D31"/>
    <w:rsid w:val="10364449"/>
    <w:rsid w:val="1709214B"/>
    <w:rsid w:val="17D47448"/>
    <w:rsid w:val="1C7F33C9"/>
    <w:rsid w:val="1E9F658C"/>
    <w:rsid w:val="1EBC1B1E"/>
    <w:rsid w:val="239F1C05"/>
    <w:rsid w:val="2B3E2F2F"/>
    <w:rsid w:val="2B876854"/>
    <w:rsid w:val="2C8F655D"/>
    <w:rsid w:val="2ECC6D62"/>
    <w:rsid w:val="2FA526CA"/>
    <w:rsid w:val="30055365"/>
    <w:rsid w:val="301D48B9"/>
    <w:rsid w:val="36CF1426"/>
    <w:rsid w:val="36F469E3"/>
    <w:rsid w:val="3AFE3909"/>
    <w:rsid w:val="3C300E38"/>
    <w:rsid w:val="403A1C8F"/>
    <w:rsid w:val="43F83AEF"/>
    <w:rsid w:val="4F120FB5"/>
    <w:rsid w:val="60714E01"/>
    <w:rsid w:val="67C10997"/>
    <w:rsid w:val="713B15A3"/>
    <w:rsid w:val="7C6E23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5489</Words>
  <Characters>5564</Characters>
  <Lines>0</Lines>
  <Paragraphs>0</Paragraphs>
  <TotalTime>5</TotalTime>
  <ScaleCrop>false</ScaleCrop>
  <LinksUpToDate>false</LinksUpToDate>
  <CharactersWithSpaces>5694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2019-11-25T03:42:00Z</dcterms:created>
  <dc:creator>VO`</dc:creator>
  <cp:lastModifiedBy>马某人@生鲜水果</cp:lastModifiedBy>
  <cp:lastPrinted>2020-08-31T07:45:00Z</cp:lastPrinted>
  <dcterms:modified xsi:type="dcterms:W3CDTF">2022-05-05T02:54:59Z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y fmtid="{D5CDD505-2E9C-101B-9397-08002B2CF9AE}" pid="3" name="ICV">
    <vt:lpwstr>305D9685CB3E4597A74C9F9B3005C6B9</vt:lpwstr>
  </property>
</Properties>
</file>