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_GBK" w:hAnsi="方正小标宋_GBK" w:eastAsia="方正小标宋_GBK" w:cs="方正小标宋_GBK"/>
          <w:sz w:val="44"/>
          <w:szCs w:val="52"/>
        </w:rPr>
      </w:pPr>
      <w:r>
        <w:rPr>
          <w:rFonts w:hint="eastAsia" w:ascii="方正小标宋_GBK" w:hAnsi="方正小标宋_GBK" w:eastAsia="方正小标宋_GBK" w:cs="方正小标宋_GBK"/>
          <w:sz w:val="44"/>
          <w:szCs w:val="52"/>
        </w:rPr>
        <w:t>关于城市生活垃圾处理费收费情况的公示</w:t>
      </w:r>
    </w:p>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方正小标宋_GBK" w:hAnsi="方正小标宋_GBK" w:eastAsia="方正小标宋_GBK" w:cs="方正小标宋_GBK"/>
          <w:sz w:val="44"/>
          <w:szCs w:val="52"/>
        </w:rPr>
      </w:pPr>
    </w:p>
    <w:p>
      <w:pPr>
        <w:keepNext w:val="0"/>
        <w:keepLines w:val="0"/>
        <w:pageBreakBefore w:val="0"/>
        <w:widowControl w:val="0"/>
        <w:kinsoku/>
        <w:wordWrap/>
        <w:overflowPunct/>
        <w:topLinePunct w:val="0"/>
        <w:autoSpaceDE/>
        <w:autoSpaceDN/>
        <w:bidi w:val="0"/>
        <w:adjustRightInd/>
        <w:snapToGrid/>
        <w:spacing w:line="600" w:lineRule="exact"/>
        <w:ind w:firstLine="532" w:firstLineChars="200"/>
        <w:textAlignment w:val="auto"/>
        <w:rPr>
          <w:rFonts w:hint="eastAsia" w:ascii="仿宋" w:hAnsi="仿宋" w:eastAsia="仿宋" w:cs="仿宋"/>
          <w:sz w:val="32"/>
          <w:szCs w:val="32"/>
        </w:rPr>
      </w:pPr>
      <w:r>
        <w:rPr>
          <w:rFonts w:hint="eastAsia" w:ascii="Microsoft YaHei UI" w:hAnsi="Microsoft YaHei UI" w:eastAsia="Microsoft YaHei UI" w:cs="Microsoft YaHei UI"/>
          <w:i w:val="0"/>
          <w:iCs w:val="0"/>
          <w:caps w:val="0"/>
          <w:spacing w:val="8"/>
          <w:sz w:val="25"/>
          <w:szCs w:val="25"/>
          <w:shd w:val="clear" w:fill="FFFFFF"/>
        </w:rPr>
        <w:t xml:space="preserve"> </w:t>
      </w:r>
      <w:r>
        <w:rPr>
          <w:rFonts w:hint="eastAsia" w:ascii="仿宋" w:hAnsi="仿宋" w:eastAsia="仿宋" w:cs="仿宋"/>
          <w:sz w:val="32"/>
          <w:szCs w:val="32"/>
          <w:lang w:val="en-US" w:eastAsia="zh-CN"/>
        </w:rPr>
        <w:t>根据《</w:t>
      </w:r>
      <w:r>
        <w:rPr>
          <w:rFonts w:hint="eastAsia" w:ascii="仿宋" w:hAnsi="仿宋" w:eastAsia="仿宋" w:cs="仿宋"/>
          <w:sz w:val="32"/>
          <w:szCs w:val="32"/>
        </w:rPr>
        <w:t>内蒙古自治区财政厅 发展和改革委员会 住房和城乡建设厅 生态环境厅 国家税务总局内蒙古自治区税务局关于明确我区城镇生活垃圾处理费有关收费问题的通知</w:t>
      </w:r>
      <w:r>
        <w:rPr>
          <w:rFonts w:hint="eastAsia" w:ascii="仿宋" w:hAnsi="仿宋" w:eastAsia="仿宋" w:cs="仿宋"/>
          <w:sz w:val="32"/>
          <w:szCs w:val="32"/>
          <w:lang w:val="en-US" w:eastAsia="zh-CN"/>
        </w:rPr>
        <w:t>》</w:t>
      </w:r>
      <w:bookmarkStart w:id="0" w:name="B0003"/>
      <w:r>
        <w:rPr>
          <w:rFonts w:hint="eastAsia" w:ascii="仿宋" w:hAnsi="仿宋" w:eastAsia="仿宋" w:cs="仿宋"/>
          <w:sz w:val="32"/>
          <w:szCs w:val="32"/>
          <w:lang w:val="en-US" w:eastAsia="zh-CN"/>
        </w:rPr>
        <w:t>（内财税〔2023〕1378号）</w:t>
      </w:r>
      <w:bookmarkEnd w:id="0"/>
      <w:r>
        <w:rPr>
          <w:rFonts w:hint="eastAsia" w:ascii="仿宋" w:hAnsi="仿宋" w:eastAsia="仿宋" w:cs="仿宋"/>
          <w:sz w:val="32"/>
          <w:szCs w:val="32"/>
          <w:lang w:val="en-US" w:eastAsia="zh-CN"/>
        </w:rPr>
        <w:t>文件要求</w:t>
      </w:r>
      <w:r>
        <w:rPr>
          <w:rFonts w:hint="eastAsia" w:ascii="仿宋" w:hAnsi="仿宋" w:eastAsia="仿宋" w:cs="仿宋"/>
          <w:sz w:val="32"/>
          <w:szCs w:val="32"/>
          <w:lang w:eastAsia="zh-CN"/>
        </w:rPr>
        <w:t>：</w:t>
      </w:r>
      <w:r>
        <w:rPr>
          <w:rFonts w:hint="eastAsia" w:ascii="仿宋" w:hAnsi="仿宋" w:eastAsia="仿宋" w:cs="仿宋"/>
          <w:sz w:val="32"/>
          <w:szCs w:val="32"/>
        </w:rPr>
        <w:t>“</w:t>
      </w:r>
      <w:r>
        <w:rPr>
          <w:rFonts w:hint="eastAsia" w:ascii="仿宋_GB2312" w:hAnsi="方正仿宋_GBK" w:eastAsia="仿宋_GB2312" w:cs="方正仿宋_GBK"/>
          <w:sz w:val="32"/>
          <w:szCs w:val="32"/>
        </w:rPr>
        <w:t>从2024年1月1日起，我区城镇生活垃圾处理费全部转为经营服务性收费管理，</w:t>
      </w:r>
      <w:r>
        <w:rPr>
          <w:rFonts w:hint="eastAsia" w:ascii="仿宋_GB2312" w:hAnsi="方正仿宋_GBK" w:eastAsia="仿宋_GB2312" w:cs="方正仿宋_GBK"/>
          <w:sz w:val="32"/>
          <w:szCs w:val="32"/>
          <w:u w:val="none"/>
        </w:rPr>
        <w:t>收费标准实行政府定价</w:t>
      </w:r>
      <w:r>
        <w:rPr>
          <w:rFonts w:hint="eastAsia" w:ascii="仿宋" w:hAnsi="仿宋" w:eastAsia="仿宋" w:cs="仿宋"/>
          <w:sz w:val="32"/>
          <w:szCs w:val="32"/>
        </w:rPr>
        <w:t>。</w:t>
      </w:r>
      <w:r>
        <w:rPr>
          <w:rFonts w:hint="default" w:ascii="仿宋" w:hAnsi="仿宋" w:eastAsia="仿宋" w:cs="仿宋"/>
          <w:sz w:val="32"/>
          <w:szCs w:val="32"/>
          <w:lang w:val="en-US" w:eastAsia="zh-CN"/>
        </w:rPr>
        <w:t>”</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阿荣旗发改委于2023年12月31日下发了</w:t>
      </w:r>
      <w:r>
        <w:rPr>
          <w:rFonts w:hint="eastAsia" w:ascii="仿宋" w:hAnsi="仿宋" w:eastAsia="仿宋" w:cs="仿宋"/>
          <w:sz w:val="32"/>
          <w:szCs w:val="32"/>
        </w:rPr>
        <w:t>《</w:t>
      </w:r>
      <w:r>
        <w:rPr>
          <w:rFonts w:hint="eastAsia" w:ascii="仿宋" w:hAnsi="仿宋" w:eastAsia="仿宋" w:cs="仿宋"/>
          <w:sz w:val="32"/>
          <w:szCs w:val="32"/>
          <w:lang w:val="en-US" w:eastAsia="zh-CN"/>
        </w:rPr>
        <w:t>关于阿荣旗城市垃圾处理收费标准的批复</w:t>
      </w:r>
      <w:r>
        <w:rPr>
          <w:rFonts w:hint="eastAsia" w:ascii="仿宋" w:hAnsi="仿宋" w:eastAsia="仿宋" w:cs="仿宋"/>
          <w:sz w:val="32"/>
          <w:szCs w:val="32"/>
        </w:rPr>
        <w:t>》(</w:t>
      </w:r>
      <w:r>
        <w:rPr>
          <w:rFonts w:hint="eastAsia" w:ascii="仿宋" w:hAnsi="仿宋" w:eastAsia="仿宋" w:cs="仿宋"/>
          <w:sz w:val="32"/>
          <w:szCs w:val="32"/>
          <w:lang w:eastAsia="zh-CN"/>
        </w:rPr>
        <w:t>阿</w:t>
      </w:r>
      <w:r>
        <w:rPr>
          <w:rFonts w:hint="eastAsia" w:ascii="仿宋" w:hAnsi="仿宋" w:eastAsia="仿宋" w:cs="仿宋"/>
          <w:sz w:val="32"/>
          <w:szCs w:val="32"/>
          <w:lang w:val="en-US" w:eastAsia="zh-CN"/>
        </w:rPr>
        <w:t>发改价字</w:t>
      </w:r>
      <w:r>
        <w:rPr>
          <w:rFonts w:hint="eastAsia" w:ascii="仿宋" w:hAnsi="仿宋" w:eastAsia="仿宋" w:cs="仿宋"/>
          <w:sz w:val="32"/>
          <w:szCs w:val="32"/>
        </w:rPr>
        <w:t>发[20</w:t>
      </w:r>
      <w:r>
        <w:rPr>
          <w:rFonts w:hint="eastAsia" w:ascii="仿宋" w:hAnsi="仿宋" w:eastAsia="仿宋" w:cs="仿宋"/>
          <w:sz w:val="32"/>
          <w:szCs w:val="32"/>
          <w:lang w:val="en-US" w:eastAsia="zh-CN"/>
        </w:rPr>
        <w:t>23</w:t>
      </w:r>
      <w:r>
        <w:rPr>
          <w:rFonts w:hint="eastAsia" w:ascii="仿宋" w:hAnsi="仿宋" w:eastAsia="仿宋" w:cs="仿宋"/>
          <w:sz w:val="32"/>
          <w:szCs w:val="32"/>
        </w:rPr>
        <w:t>〕</w:t>
      </w:r>
      <w:r>
        <w:rPr>
          <w:rFonts w:hint="eastAsia" w:ascii="仿宋" w:hAnsi="仿宋" w:eastAsia="仿宋" w:cs="仿宋"/>
          <w:sz w:val="32"/>
          <w:szCs w:val="32"/>
          <w:lang w:val="en-US" w:eastAsia="zh-CN"/>
        </w:rPr>
        <w:t>1</w:t>
      </w:r>
      <w:r>
        <w:rPr>
          <w:rFonts w:hint="eastAsia" w:ascii="仿宋" w:hAnsi="仿宋" w:eastAsia="仿宋" w:cs="仿宋"/>
          <w:sz w:val="32"/>
          <w:szCs w:val="32"/>
        </w:rPr>
        <w:t>号)</w:t>
      </w:r>
      <w:r>
        <w:rPr>
          <w:rFonts w:hint="eastAsia" w:ascii="仿宋" w:hAnsi="仿宋" w:eastAsia="仿宋" w:cs="仿宋"/>
          <w:sz w:val="32"/>
          <w:szCs w:val="32"/>
          <w:lang w:val="en-US" w:eastAsia="zh-CN"/>
        </w:rPr>
        <w:t>，文件确定了收费标准，并要求从2024年1月1日起开始执行，</w:t>
      </w:r>
      <w:r>
        <w:rPr>
          <w:rFonts w:hint="eastAsia" w:ascii="仿宋" w:hAnsi="仿宋" w:eastAsia="仿宋" w:cs="仿宋"/>
          <w:sz w:val="32"/>
          <w:szCs w:val="32"/>
        </w:rPr>
        <w:t>现将</w:t>
      </w:r>
      <w:r>
        <w:rPr>
          <w:rFonts w:hint="eastAsia" w:ascii="仿宋" w:hAnsi="仿宋" w:eastAsia="仿宋" w:cs="仿宋"/>
          <w:sz w:val="32"/>
          <w:szCs w:val="32"/>
          <w:lang w:val="en-US" w:eastAsia="zh-CN"/>
        </w:rPr>
        <w:t>具体</w:t>
      </w:r>
      <w:r>
        <w:rPr>
          <w:rFonts w:hint="eastAsia" w:ascii="仿宋" w:hAnsi="仿宋" w:eastAsia="仿宋" w:cs="仿宋"/>
          <w:sz w:val="32"/>
          <w:szCs w:val="32"/>
        </w:rPr>
        <w:t>情况公示如下：</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一、收费范围及对象</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那吉镇城区</w:t>
      </w:r>
      <w:r>
        <w:rPr>
          <w:rFonts w:hint="eastAsia" w:ascii="仿宋" w:hAnsi="仿宋" w:eastAsia="仿宋" w:cs="仿宋"/>
          <w:sz w:val="32"/>
          <w:szCs w:val="32"/>
        </w:rPr>
        <w:t>范围内的居民、机关企事业单位</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不含学校、幼儿园、部队</w:t>
      </w:r>
      <w:r>
        <w:rPr>
          <w:rFonts w:hint="eastAsia" w:ascii="仿宋" w:hAnsi="仿宋" w:eastAsia="仿宋" w:cs="仿宋"/>
          <w:sz w:val="32"/>
          <w:szCs w:val="32"/>
          <w:lang w:eastAsia="zh-CN"/>
        </w:rPr>
        <w:t>）</w:t>
      </w:r>
      <w:r>
        <w:rPr>
          <w:rFonts w:hint="eastAsia" w:ascii="仿宋" w:hAnsi="仿宋" w:eastAsia="仿宋" w:cs="仿宋"/>
          <w:sz w:val="32"/>
          <w:szCs w:val="32"/>
        </w:rPr>
        <w:t>、社会团体、经营服务性单位等产生生活垃圾的单位和个人。</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二、收费标准</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1、市场:固定摊位10.00元/摊位.月;流动摊位1.00元/摊位.</w:t>
      </w:r>
      <w:r>
        <w:rPr>
          <w:rFonts w:hint="eastAsia" w:ascii="仿宋" w:hAnsi="仿宋" w:eastAsia="仿宋" w:cs="仿宋"/>
          <w:sz w:val="32"/>
          <w:szCs w:val="32"/>
          <w:lang w:val="en-US" w:eastAsia="zh-CN"/>
        </w:rPr>
        <w:t>日</w:t>
      </w:r>
      <w:r>
        <w:rPr>
          <w:rFonts w:hint="eastAsia" w:ascii="仿宋" w:hAnsi="仿宋" w:eastAsia="仿宋" w:cs="仿宋"/>
          <w:sz w:val="32"/>
          <w:szCs w:val="32"/>
        </w:rPr>
        <w:t>(包含批发市场、工业品市场、农贸市场、露天市场、早市、夜市等，摊位长度按每个1米计算)。</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2、超市、鲜活副食品店、水果蔬菜店、生资等商铺:0.6元/平方米.月(按经营面积计收)。</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3、照相馆、打字复印社、咨询、中介公司、电器维修等服务类商户:0.25元/平方米.月(按经营面积计收)。</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4、餐饮业:0.8元/平方米.月(按经营面积计收，具有餐饮、住宿综合功能的，分类计算，合并收取)。</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5、百货、建材等大型商业网点:0.3元/平方米.月(经营面积&gt;1000平方米)。</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6、娱乐业、洗浴、健身、培训机构等:0.3元/平方米.月(按经营面积计收，具有餐饮、住宿综合功能的，分类计算，合并收取)。</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rPr>
        <w:t>7、宾馆、旅店、招待所:3元/床.月。</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5-9月旺季按总床位100%收取；其他时间按总床位50%收取）</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8、居民(含暂住人口):3元/户.月(残疾人、军烈属及享受最低生活保障和国家抚恤的居民家庭，持有关手续免收生活垃圾处理费)。</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9、机关、社会团体、企业、事业单位</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不含学校、幼儿园、部队</w:t>
      </w:r>
      <w:r>
        <w:rPr>
          <w:rFonts w:hint="eastAsia" w:ascii="仿宋" w:hAnsi="仿宋" w:eastAsia="仿宋" w:cs="仿宋"/>
          <w:sz w:val="32"/>
          <w:szCs w:val="32"/>
          <w:lang w:eastAsia="zh-CN"/>
        </w:rPr>
        <w:t>）</w:t>
      </w:r>
      <w:r>
        <w:rPr>
          <w:rFonts w:hint="eastAsia" w:ascii="仿宋" w:hAnsi="仿宋" w:eastAsia="仿宋" w:cs="仿宋"/>
          <w:sz w:val="32"/>
          <w:szCs w:val="32"/>
        </w:rPr>
        <w:t>:1.2元/人.月(在职职工&lt;含临时聘用人员&gt;;残疾人办企业减半收取)。</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10、代运生活垃圾:40元/吨。</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11、代运建筑垃圾:20元/吨。</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12、建筑垃圾处理:5元/吨。</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13、生活垃圾处理:10元/吨。</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三、收费方式</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rPr>
        <w:t>按照有利于提高收缴率，降低收取成本，方便交费的原则，采取委托代收和直接收取的方式进行</w:t>
      </w:r>
      <w:r>
        <w:rPr>
          <w:rFonts w:hint="eastAsia" w:ascii="仿宋" w:hAnsi="仿宋" w:eastAsia="仿宋" w:cs="仿宋"/>
          <w:sz w:val="32"/>
          <w:szCs w:val="32"/>
          <w:lang w:val="en-US" w:eastAsia="zh-CN"/>
        </w:rPr>
        <w:t>收费</w:t>
      </w:r>
      <w:r>
        <w:rPr>
          <w:rFonts w:hint="eastAsia" w:ascii="仿宋" w:hAnsi="仿宋" w:eastAsia="仿宋" w:cs="仿宋"/>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四、违法处理</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依据中华人民共和国建设部令第157号《城市生活垃圾管理办法》第三十八条：单位和个人未按规定缴纳城市生活垃圾处理费的，由直辖市、市、县人民政府建设（环境卫生）主管部门责令限期改正，逾期不改正的，对单位可处以应交城市生活垃圾处理费三倍以下且不超过3万元的罚款，对个人可以处以应交城市生活垃圾处理费三倍以下且不超过1000元的罚款。</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lang w:val="en-US" w:eastAsia="zh-CN"/>
        </w:rPr>
        <w:t>五</w:t>
      </w:r>
      <w:r>
        <w:rPr>
          <w:rFonts w:hint="eastAsia" w:ascii="黑体" w:hAnsi="黑体" w:eastAsia="黑体" w:cs="黑体"/>
          <w:sz w:val="32"/>
          <w:szCs w:val="32"/>
        </w:rPr>
        <w:t>、 其他说明</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一）改善城市环境卫生是每一个公民应承担的责任和义务，城镇生活垃圾处理收费坚持“污染者付费”原则，产生生活垃圾的国家机关、企事业单位、社会团体、个体经营者和个人均应按照规定缴纳城镇生活垃圾处理费。</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（二）各用户一旦发现违反生活垃圾费收费管理行为和服务质量问题，可以向</w:t>
      </w:r>
      <w:r>
        <w:rPr>
          <w:rFonts w:hint="eastAsia" w:ascii="仿宋" w:hAnsi="仿宋" w:eastAsia="仿宋" w:cs="仿宋"/>
          <w:sz w:val="32"/>
          <w:szCs w:val="32"/>
          <w:lang w:val="en-US" w:eastAsia="zh-CN"/>
        </w:rPr>
        <w:t>阿荣旗城市管理综合执法</w:t>
      </w:r>
      <w:r>
        <w:rPr>
          <w:rFonts w:hint="eastAsia" w:ascii="仿宋" w:hAnsi="仿宋" w:eastAsia="仿宋" w:cs="仿宋"/>
          <w:sz w:val="32"/>
          <w:szCs w:val="32"/>
        </w:rPr>
        <w:t>局投诉。投诉电话：</w:t>
      </w:r>
      <w:r>
        <w:rPr>
          <w:rFonts w:hint="eastAsia" w:ascii="仿宋" w:hAnsi="仿宋" w:eastAsia="仿宋" w:cs="仿宋"/>
          <w:sz w:val="32"/>
          <w:szCs w:val="32"/>
          <w:lang w:val="en-US" w:eastAsia="zh-CN"/>
        </w:rPr>
        <w:t>13804704163</w:t>
      </w:r>
      <w:bookmarkStart w:id="1" w:name="_GoBack"/>
      <w:bookmarkEnd w:id="1"/>
      <w:r>
        <w:rPr>
          <w:rFonts w:hint="eastAsia" w:ascii="仿宋" w:hAnsi="仿宋" w:eastAsia="仿宋" w:cs="仿宋"/>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特此公告。</w:t>
      </w:r>
    </w:p>
    <w:p>
      <w:pPr>
        <w:keepNext w:val="0"/>
        <w:keepLines w:val="0"/>
        <w:pageBreakBefore w:val="0"/>
        <w:widowControl w:val="0"/>
        <w:kinsoku/>
        <w:wordWrap/>
        <w:overflowPunct/>
        <w:topLinePunct w:val="0"/>
        <w:autoSpaceDE/>
        <w:autoSpaceDN/>
        <w:bidi w:val="0"/>
        <w:adjustRightInd/>
        <w:snapToGrid/>
        <w:spacing w:line="600" w:lineRule="exact"/>
        <w:ind w:firstLine="4160" w:firstLineChars="13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阿荣旗城市管理综合执法局</w:t>
      </w:r>
    </w:p>
    <w:p>
      <w:pPr>
        <w:keepNext w:val="0"/>
        <w:keepLines w:val="0"/>
        <w:pageBreakBefore w:val="0"/>
        <w:widowControl w:val="0"/>
        <w:kinsoku/>
        <w:wordWrap/>
        <w:overflowPunct/>
        <w:topLinePunct w:val="0"/>
        <w:autoSpaceDE/>
        <w:autoSpaceDN/>
        <w:bidi w:val="0"/>
        <w:adjustRightInd/>
        <w:snapToGrid/>
        <w:spacing w:line="600" w:lineRule="exact"/>
        <w:ind w:firstLine="5120" w:firstLineChars="1600"/>
        <w:textAlignment w:val="auto"/>
        <w:rPr>
          <w:rFonts w:hint="eastAsia" w:ascii="仿宋" w:hAnsi="仿宋" w:eastAsia="仿宋" w:cs="仿宋"/>
          <w:sz w:val="32"/>
          <w:szCs w:val="40"/>
        </w:rPr>
      </w:pPr>
      <w:r>
        <w:rPr>
          <w:rFonts w:hint="eastAsia" w:ascii="仿宋" w:hAnsi="仿宋" w:eastAsia="仿宋" w:cs="仿宋"/>
          <w:sz w:val="32"/>
          <w:szCs w:val="32"/>
          <w:lang w:val="en-US" w:eastAsia="zh-CN"/>
        </w:rPr>
        <w:t>2024年3月25日</w:t>
      </w:r>
    </w:p>
    <w:sectPr>
      <w:footerReference r:id="rId3" w:type="default"/>
      <w:pgSz w:w="11906" w:h="16838"/>
      <w:pgMar w:top="2098" w:right="1531" w:bottom="1984" w:left="1531" w:header="851" w:footer="992" w:gutter="0"/>
      <w:pgNumType w:fmt="numberInDash"/>
      <w:cols w:space="0" w:num="1"/>
      <w:rtlGutter w:val="0"/>
      <w:docGrid w:type="lines" w:linePitch="31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方正仿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eastAsia" w:ascii="仿宋" w:hAnsi="仿宋" w:eastAsia="仿宋" w:cs="仿宋"/>
                              <w:sz w:val="28"/>
                              <w:szCs w:val="44"/>
                            </w:rPr>
                            <w:fldChar w:fldCharType="begin"/>
                          </w:r>
                          <w:r>
                            <w:rPr>
                              <w:rFonts w:hint="eastAsia" w:ascii="仿宋" w:hAnsi="仿宋" w:eastAsia="仿宋" w:cs="仿宋"/>
                              <w:sz w:val="28"/>
                              <w:szCs w:val="44"/>
                            </w:rPr>
                            <w:instrText xml:space="preserve"> PAGE  \* MERGEFORMAT </w:instrText>
                          </w:r>
                          <w:r>
                            <w:rPr>
                              <w:rFonts w:hint="eastAsia" w:ascii="仿宋" w:hAnsi="仿宋" w:eastAsia="仿宋" w:cs="仿宋"/>
                              <w:sz w:val="28"/>
                              <w:szCs w:val="44"/>
                            </w:rPr>
                            <w:fldChar w:fldCharType="separate"/>
                          </w:r>
                          <w:r>
                            <w:rPr>
                              <w:rFonts w:hint="eastAsia" w:ascii="仿宋" w:hAnsi="仿宋" w:eastAsia="仿宋" w:cs="仿宋"/>
                              <w:sz w:val="28"/>
                              <w:szCs w:val="44"/>
                            </w:rPr>
                            <w:t>1</w:t>
                          </w:r>
                          <w:r>
                            <w:rPr>
                              <w:rFonts w:hint="eastAsia" w:ascii="仿宋" w:hAnsi="仿宋" w:eastAsia="仿宋" w:cs="仿宋"/>
                              <w:sz w:val="28"/>
                              <w:szCs w:val="4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pPr>
                    <w:r>
                      <w:rPr>
                        <w:rFonts w:hint="eastAsia" w:ascii="仿宋" w:hAnsi="仿宋" w:eastAsia="仿宋" w:cs="仿宋"/>
                        <w:sz w:val="28"/>
                        <w:szCs w:val="44"/>
                      </w:rPr>
                      <w:fldChar w:fldCharType="begin"/>
                    </w:r>
                    <w:r>
                      <w:rPr>
                        <w:rFonts w:hint="eastAsia" w:ascii="仿宋" w:hAnsi="仿宋" w:eastAsia="仿宋" w:cs="仿宋"/>
                        <w:sz w:val="28"/>
                        <w:szCs w:val="44"/>
                      </w:rPr>
                      <w:instrText xml:space="preserve"> PAGE  \* MERGEFORMAT </w:instrText>
                    </w:r>
                    <w:r>
                      <w:rPr>
                        <w:rFonts w:hint="eastAsia" w:ascii="仿宋" w:hAnsi="仿宋" w:eastAsia="仿宋" w:cs="仿宋"/>
                        <w:sz w:val="28"/>
                        <w:szCs w:val="44"/>
                      </w:rPr>
                      <w:fldChar w:fldCharType="separate"/>
                    </w:r>
                    <w:r>
                      <w:rPr>
                        <w:rFonts w:hint="eastAsia" w:ascii="仿宋" w:hAnsi="仿宋" w:eastAsia="仿宋" w:cs="仿宋"/>
                        <w:sz w:val="28"/>
                        <w:szCs w:val="44"/>
                      </w:rPr>
                      <w:t>1</w:t>
                    </w:r>
                    <w:r>
                      <w:rPr>
                        <w:rFonts w:hint="eastAsia" w:ascii="仿宋" w:hAnsi="仿宋" w:eastAsia="仿宋" w:cs="仿宋"/>
                        <w:sz w:val="28"/>
                        <w:szCs w:val="44"/>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wYzY2NDMxYzZlNGVlN2FhMGY4ZTFmYTYwYWZkZmQifQ=="/>
  </w:docVars>
  <w:rsids>
    <w:rsidRoot w:val="00000000"/>
    <w:rsid w:val="073A132C"/>
    <w:rsid w:val="242468E3"/>
    <w:rsid w:val="274B266B"/>
    <w:rsid w:val="41F557B9"/>
    <w:rsid w:val="439C6C3E"/>
    <w:rsid w:val="44861E7C"/>
    <w:rsid w:val="4BB07A07"/>
    <w:rsid w:val="4C4C2BBA"/>
    <w:rsid w:val="70AB7F6C"/>
    <w:rsid w:val="787F518A"/>
    <w:rsid w:val="7AFE6610"/>
    <w:rsid w:val="7D135D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7">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3">
    <w:name w:val="footer"/>
    <w:basedOn w:val="1"/>
    <w:autoRedefine/>
    <w:qFormat/>
    <w:uiPriority w:val="0"/>
    <w:pPr>
      <w:tabs>
        <w:tab w:val="center" w:pos="4153"/>
        <w:tab w:val="right" w:pos="8306"/>
      </w:tabs>
      <w:snapToGrid w:val="0"/>
      <w:jc w:val="left"/>
    </w:pPr>
    <w:rPr>
      <w:sz w:val="18"/>
    </w:rPr>
  </w:style>
  <w:style w:type="paragraph" w:styleId="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8">
    <w:name w:val="Strong"/>
    <w:basedOn w:val="7"/>
    <w:autoRedefine/>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16</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2022-07-12T02:01:00Z</dcterms:created>
  <dc:creator>Administrator</dc:creator>
  <cp:lastModifiedBy>。。。。。。</cp:lastModifiedBy>
  <cp:lastPrinted>2024-01-24T01:12:00Z</cp:lastPrinted>
  <dcterms:modified xsi:type="dcterms:W3CDTF">2024-04-03T01:28:18Z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EA16C5A9247E49F39B91FA4912023229</vt:lpwstr>
  </property>
</Properties>
</file>