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黑体" w:hAnsi="仿宋" w:eastAsia="黑体"/>
          <w:color w:val="000000"/>
          <w:sz w:val="30"/>
          <w:szCs w:val="30"/>
        </w:rPr>
      </w:pPr>
    </w:p>
    <w:p>
      <w:pPr>
        <w:rPr>
          <w:rFonts w:ascii="黑体" w:hAnsi="仿宋" w:eastAsia="黑体"/>
          <w:color w:val="000000"/>
          <w:sz w:val="32"/>
          <w:szCs w:val="32"/>
        </w:rPr>
      </w:pPr>
    </w:p>
    <w:p>
      <w:pPr>
        <w:jc w:val="center"/>
        <w:rPr>
          <w:rFonts w:hint="eastAsia" w:ascii="仿宋" w:hAnsi="仿宋" w:eastAsia="方正小标宋简体"/>
          <w:color w:val="000000"/>
          <w:sz w:val="20"/>
          <w:lang w:eastAsia="zh-CN"/>
        </w:rPr>
      </w:pPr>
      <w:r>
        <w:rPr>
          <w:rFonts w:hint="eastAsia" w:ascii="方正小标宋简体" w:eastAsia="方正小标宋简体"/>
          <w:b/>
          <w:color w:val="000000"/>
          <w:sz w:val="36"/>
          <w:szCs w:val="36"/>
          <w:lang w:eastAsia="zh-CN"/>
        </w:rPr>
        <w:t>阿荣旗新发朝鲜族乡</w:t>
      </w:r>
      <w:bookmarkStart w:id="0" w:name="_GoBack"/>
      <w:bookmarkEnd w:id="0"/>
      <w:r>
        <w:rPr>
          <w:rFonts w:hint="eastAsia" w:ascii="方正小标宋简体" w:eastAsia="方正小标宋简体"/>
          <w:b/>
          <w:color w:val="000000"/>
          <w:sz w:val="36"/>
          <w:szCs w:val="36"/>
          <w:lang w:eastAsia="zh-CN"/>
        </w:rPr>
        <w:t>综合行政执法队随机抽查清单</w:t>
      </w:r>
    </w:p>
    <w:tbl>
      <w:tblPr>
        <w:tblStyle w:val="3"/>
        <w:tblW w:w="11207" w:type="dxa"/>
        <w:jc w:val="center"/>
        <w:tblLayout w:type="fixed"/>
        <w:tblCellMar>
          <w:top w:w="0" w:type="dxa"/>
          <w:left w:w="0" w:type="dxa"/>
          <w:bottom w:w="0" w:type="dxa"/>
          <w:right w:w="0" w:type="dxa"/>
        </w:tblCellMar>
      </w:tblPr>
      <w:tblGrid>
        <w:gridCol w:w="511"/>
        <w:gridCol w:w="2171"/>
        <w:gridCol w:w="1076"/>
        <w:gridCol w:w="4160"/>
        <w:gridCol w:w="1023"/>
        <w:gridCol w:w="1441"/>
        <w:gridCol w:w="825"/>
      </w:tblGrid>
      <w:tr>
        <w:trPr>
          <w:trHeight w:val="51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序号</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ind w:firstLine="361" w:firstLineChars="200"/>
              <w:rPr>
                <w:rFonts w:hint="eastAsia" w:eastAsia="方正仿宋简体"/>
                <w:b/>
                <w:color w:val="000000"/>
                <w:sz w:val="18"/>
                <w:szCs w:val="18"/>
                <w:lang w:eastAsia="zh-CN"/>
              </w:rPr>
            </w:pPr>
            <w:r>
              <w:rPr>
                <w:rFonts w:hint="eastAsia" w:eastAsia="方正仿宋简体"/>
                <w:b/>
                <w:color w:val="000000"/>
                <w:sz w:val="18"/>
                <w:szCs w:val="18"/>
                <w:lang w:eastAsia="zh-CN"/>
              </w:rPr>
              <w:t>抽查事项</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抽查对象</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after="240"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抽查依据</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抽查方式</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抽查比例和频次</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备注</w:t>
            </w:r>
          </w:p>
        </w:tc>
      </w:tr>
      <w:tr>
        <w:tblPrEx>
          <w:tblCellMar>
            <w:top w:w="0" w:type="dxa"/>
            <w:left w:w="0" w:type="dxa"/>
            <w:bottom w:w="0" w:type="dxa"/>
            <w:right w:w="0" w:type="dxa"/>
          </w:tblCellMar>
        </w:tblPrEx>
        <w:trPr>
          <w:trHeight w:val="165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bCs/>
                <w:color w:val="000000"/>
                <w:sz w:val="18"/>
                <w:szCs w:val="18"/>
                <w:lang w:eastAsia="zh-CN"/>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 xml:space="preserve">《中华人民共和国土地管理法》第七十五条 </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《中华人民共和国土地管理法实施条例》第五十五条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both"/>
              <w:rPr>
                <w:rFonts w:hint="eastAsia" w:eastAsia="方正仿宋简体"/>
                <w:b/>
                <w:color w:val="000000"/>
                <w:sz w:val="18"/>
                <w:szCs w:val="18"/>
                <w:lang w:val="en-US"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387"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 xml:space="preserve">《中华人民共和国土地管理法》第七十七条 </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《中华人民共和国土地管理法实施条例》第五十七条 第一款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22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pPr>
              <w:spacing w:line="300" w:lineRule="exact"/>
              <w:jc w:val="center"/>
              <w:rPr>
                <w:rFonts w:hint="eastAsia" w:eastAsia="方正仿宋简体"/>
                <w:b/>
                <w:color w:val="000000"/>
                <w:sz w:val="18"/>
                <w:szCs w:val="18"/>
                <w:lang w:val="en-US" w:eastAsia="zh-CN"/>
              </w:rPr>
            </w:pP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《基本农田保护条例》第三十三条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657"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pPr>
              <w:spacing w:line="300" w:lineRule="exact"/>
              <w:jc w:val="center"/>
              <w:rPr>
                <w:rFonts w:hint="eastAsia" w:eastAsia="方正仿宋简体"/>
                <w:b/>
                <w:color w:val="000000"/>
                <w:sz w:val="18"/>
                <w:szCs w:val="18"/>
                <w:lang w:val="en-US" w:eastAsia="zh-CN"/>
              </w:rPr>
            </w:pP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《中华人民共和国草原法》第五十二条 第六十九条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21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《中华人民共和国草原法》第六十四条</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22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对机动车离开道路在草原上行驶，或者未按照确认的行驶区域和行驶路线在草原上行驶，破坏草原植被的处罚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《中华人民共和国草原法》第七十条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8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《内蒙古自治区草原管理条例》第三十一条 第四十六条 第二款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06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《内蒙古自治区基本草原保护条例》第三十八条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23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《内蒙古自治区基本草原保护条例》第三十八条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8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《内蒙古自治区草原管理条例实施细则》第四十五条 第五十二条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84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《城市道路管理条例》第四十二条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81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pacing w:val="-10"/>
                <w:sz w:val="18"/>
                <w:szCs w:val="18"/>
              </w:rPr>
            </w:pPr>
            <w:r>
              <w:rPr>
                <w:rFonts w:hint="eastAsia" w:ascii="仿宋_GB2312" w:hAnsi="仿宋_GB2312" w:eastAsia="仿宋_GB2312" w:cs="仿宋_GB2312"/>
                <w:b/>
                <w:bCs/>
                <w:color w:val="000000"/>
                <w:sz w:val="21"/>
                <w:szCs w:val="21"/>
                <w:vertAlign w:val="baseline"/>
                <w:lang w:val="en-US" w:eastAsia="zh-CN"/>
              </w:rPr>
              <w:t>《城市道路管理条例》第四十二条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36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eastAsia="方正仿宋简体"/>
                <w:b/>
                <w:bCs/>
                <w:color w:val="000000"/>
                <w:sz w:val="18"/>
                <w:szCs w:val="18"/>
                <w:lang w:eastAsia="zh-CN"/>
              </w:rPr>
            </w:pPr>
            <w:r>
              <w:rPr>
                <w:rFonts w:hint="eastAsia" w:ascii="仿宋_GB2312" w:hAnsi="仿宋_GB2312" w:eastAsia="仿宋_GB2312" w:cs="仿宋_GB2312"/>
                <w:b/>
                <w:bCs/>
                <w:color w:val="000000"/>
                <w:sz w:val="21"/>
                <w:szCs w:val="21"/>
                <w:vertAlign w:val="baseline"/>
                <w:lang w:val="en-US" w:eastAsia="zh-CN"/>
              </w:rPr>
              <w:t>《城市道路管理条例》第四十二条 第三项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20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《城市道路管理条例》第四十二条 第四项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073"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《城市道路管理条例》第四十二条 第五项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1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《城市道路管理条例》第四十二条第六项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0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《中华人民共和国防洪法》第五十五条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09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《中华人民共和国防洪法》第五十五条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387"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《中华人民共和国水法》第六十六条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16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《中华人民共和国水法》第六十六条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58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《中华人民共和国水土保持法》第四十八条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02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《中华人民共和国水土保持法》第四十九条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9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《中华人民共和国水土保持法》第五十一条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20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24</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《中华人民共和国水土保持法》第五十二条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192"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《中华人民共和国水土保持法》第五十五条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29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《中华人民共和国水土保持法》第五十六条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42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《中华人民共和国河道管理条例》第四十四条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03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《中华人民共和国河道管理条例》第四十四条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32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《中华人民共和国河道管理条例》第四十四条 第七项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92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《中华人民共和国河道管理条例》第四十五条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222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《中华人民共和国抗旱条例》第六十一条</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45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《城市市容和环境卫生管理条例》第三十四条 第三项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2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《内蒙古自治区城市市容和环境卫生违法行为处罚规定》第三条 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69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《内蒙古自治区城市市容和环境卫生违法行为处罚规定》第三条 第四项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7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《内蒙古自治区城市市容和环境卫生违法行为处罚规定》第三条 第七项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04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《内蒙古自治区城市市容和环境卫生违法行为处罚规定》第五条 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59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《内蒙古自治区城市市容和环境卫生违法行为处罚规定》第五条第二项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《内蒙古自治区爱国卫生条例》第十五条 第二十五条第一项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99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对未按规定实行包门前卫生、包绿化美化硬化、包管理的“门前三包”制度的处罚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《内蒙古自治区爱国卫生条例》第十六条 第二十五条第二项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948"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《内蒙古自治区爱国卫生条例》第十八条 第二十五条 第四项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4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对不移交有关物业管理资料的处罚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 xml:space="preserve">《中华人民共和国物业管理条例》第五十八条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3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《中华人民共和国物业管理条例》第五十九条</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86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《中华人民共和国物业管理条例》第六十二条</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64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《中华人民共和国物业管理条例》第六十三条 第一款第一项、第六十三条第二款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461"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《中华人民共和国物业管理条例》第六十三条 第一款第二项、第六十三条第二款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19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《中华人民共和国物业管理条例》第六十三条 第一款第三项、第六十三条第二款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895"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对农业投入品生产者、销售者、使用者未按照规定及时回收肥料等农业投入品的包装废弃物或者农用薄膜，或者未按照规定及时回收农药包装废弃物交由专门的机构或者组织进行无害化处理的处罚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《中华人民共和国土壤污染防治法》第八十八条  　　</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106"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对农产品生产企业、农民专业合作社、从事农产品收购的单位或者个人未按照规定开具承诺达标合格证的处罚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《中华人民共和国农产品质量安全法》第七十三条第一项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74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对擅自停止使用取退水计量设施的处罚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《取水许可管理办法》第四十九条第二项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2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对进行开垦、采石、采砂、采土或者其他活动造成林木毁坏的处罚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《中华人民共和国森林法》第七十四条第一款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5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对连续两年未完成更新造林任务的处罚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《中华人民共和国森林法》第七十九条</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《中华人民共和国森林法实施条例》第四十二条第一项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36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对当年更新造林面积未达到应更新造林面积50%的处罚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《中华人民共和国森林法》第七十九条</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《中华人民共和国森林法实施条例》第四十二条第二项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84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除国家特别规定的干旱、半干旱地区外，更新造林当年成活率未达到85%的处罚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《中华人民共和国森林法》第七十九条</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《中华人民共和国森林法实施条例》第四十二条第三项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09"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对植树造林责任单位未按照所在地县级人民政府的要求按时完成造林任务的处罚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hint="eastAsia" w:ascii="仿宋_GB2312" w:hAnsi="仿宋_GB2312" w:eastAsia="仿宋_GB2312" w:cs="仿宋_GB2312"/>
                <w:b/>
                <w:bCs/>
                <w:color w:val="000000"/>
                <w:sz w:val="21"/>
                <w:szCs w:val="21"/>
                <w:vertAlign w:val="baseline"/>
                <w:lang w:val="en-US" w:eastAsia="zh-CN"/>
              </w:rPr>
            </w:pPr>
            <w:r>
              <w:rPr>
                <w:rFonts w:hint="eastAsia" w:ascii="仿宋_GB2312" w:hAnsi="仿宋_GB2312" w:eastAsia="仿宋_GB2312" w:cs="仿宋_GB2312"/>
                <w:b/>
                <w:bCs/>
                <w:color w:val="000000"/>
                <w:sz w:val="21"/>
                <w:szCs w:val="21"/>
                <w:vertAlign w:val="baseline"/>
                <w:lang w:val="en-US" w:eastAsia="zh-CN"/>
              </w:rPr>
              <w:t>《中华人民共和国森林法》第七十九条</w:t>
            </w:r>
          </w:p>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《中华人民共和国森林法实施条例》第四十二条第四项</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954"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对在人口集中地区对树木、花草喷洒剧毒、高毒农药，或者露天焚烧秸秆、落叶等产生烟尘污染的物质的处罚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《中华人民共和国大气污染防治法》第一百一十九条第一款</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r>
        <w:tblPrEx>
          <w:tblCellMar>
            <w:top w:w="0" w:type="dxa"/>
            <w:left w:w="0" w:type="dxa"/>
            <w:bottom w:w="0" w:type="dxa"/>
            <w:right w:w="0" w:type="dxa"/>
          </w:tblCellMar>
        </w:tblPrEx>
        <w:trPr>
          <w:trHeight w:val="1110" w:hRule="atLeast"/>
          <w:jc w:val="center"/>
        </w:trPr>
        <w:tc>
          <w:tcPr>
            <w:tcW w:w="511"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217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对破坏或者擅自改变基本农田保护区标志的处罚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bCs/>
                <w:color w:val="000000"/>
                <w:sz w:val="18"/>
                <w:szCs w:val="18"/>
              </w:rPr>
            </w:pPr>
            <w:r>
              <w:rPr>
                <w:rFonts w:hint="eastAsia" w:eastAsia="方正仿宋简体"/>
                <w:b/>
                <w:bCs/>
                <w:color w:val="000000"/>
                <w:sz w:val="18"/>
                <w:szCs w:val="18"/>
                <w:lang w:eastAsia="zh-CN"/>
              </w:rPr>
              <w:t>个人和企业</w:t>
            </w:r>
          </w:p>
        </w:tc>
        <w:tc>
          <w:tcPr>
            <w:tcW w:w="416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keepNext w:val="0"/>
              <w:keepLines w:val="0"/>
              <w:widowControl/>
              <w:suppressLineNumbers w:val="0"/>
              <w:jc w:val="center"/>
              <w:textAlignment w:val="center"/>
              <w:rPr>
                <w:rFonts w:eastAsia="方正仿宋简体"/>
                <w:b/>
                <w:bCs/>
                <w:color w:val="000000"/>
                <w:sz w:val="18"/>
                <w:szCs w:val="18"/>
              </w:rPr>
            </w:pPr>
            <w:r>
              <w:rPr>
                <w:rFonts w:hint="eastAsia" w:ascii="仿宋_GB2312" w:hAnsi="仿宋_GB2312" w:eastAsia="仿宋_GB2312" w:cs="仿宋_GB2312"/>
                <w:b/>
                <w:bCs/>
                <w:color w:val="000000"/>
                <w:sz w:val="21"/>
                <w:szCs w:val="21"/>
                <w:vertAlign w:val="baseline"/>
                <w:lang w:val="en-US" w:eastAsia="zh-CN"/>
              </w:rPr>
              <w:t>《基本农田保护条例》第三十二条</w:t>
            </w:r>
          </w:p>
        </w:tc>
        <w:tc>
          <w:tcPr>
            <w:tcW w:w="1023"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定期抽查和不定期抽查相结合</w:t>
            </w:r>
          </w:p>
        </w:tc>
        <w:tc>
          <w:tcPr>
            <w:tcW w:w="144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不定向抽查每年不少于一次，抽查比例不低于</w:t>
            </w:r>
            <w:r>
              <w:rPr>
                <w:rFonts w:hint="eastAsia" w:eastAsia="方正仿宋简体"/>
                <w:b/>
                <w:color w:val="000000"/>
                <w:sz w:val="18"/>
                <w:szCs w:val="18"/>
                <w:lang w:val="en-US" w:eastAsia="zh-CN"/>
              </w:rPr>
              <w:t>3%；定向抽查不少于2次，抽查比例不低于3%</w:t>
            </w:r>
          </w:p>
        </w:tc>
        <w:tc>
          <w:tcPr>
            <w:tcW w:w="825"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pPr>
              <w:spacing w:line="300" w:lineRule="exact"/>
              <w:jc w:val="center"/>
              <w:rPr>
                <w:rFonts w:hint="eastAsia" w:eastAsia="方正仿宋简体"/>
                <w:b/>
                <w:color w:val="000000"/>
                <w:sz w:val="18"/>
                <w:szCs w:val="18"/>
                <w:lang w:eastAsia="zh-CN"/>
              </w:rPr>
            </w:pPr>
          </w:p>
        </w:tc>
      </w:tr>
    </w:tbl>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
    <w:panose1 w:val="02010609060101010101"/>
    <w:charset w:val="86"/>
    <w:family w:val="modern"/>
    <w:pitch w:val="default"/>
    <w:sig w:usb0="800002BF" w:usb1="38CF7CFA" w:usb2="00000016" w:usb3="00000000" w:csb0="00040001" w:csb1="00000000"/>
  </w:font>
  <w:font w:name="方正小标宋简体">
    <w:altName w:val="微软雅黑"/>
    <w:panose1 w:val="02010601030101010101"/>
    <w:charset w:val="86"/>
    <w:family w:val="script"/>
    <w:pitch w:val="default"/>
    <w:sig w:usb0="00000000" w:usb1="0000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M2MzhjODNmNzUwYzMwN2U2Y2M5NWQ0MGNkMThiMmEifQ=="/>
  </w:docVars>
  <w:rsids>
    <w:rsidRoot w:val="713B15A3"/>
    <w:rsid w:val="09CF7C28"/>
    <w:rsid w:val="0BAD3D31"/>
    <w:rsid w:val="10364449"/>
    <w:rsid w:val="1B0A6E6F"/>
    <w:rsid w:val="239F1C05"/>
    <w:rsid w:val="2B3E2F2F"/>
    <w:rsid w:val="2C8F655D"/>
    <w:rsid w:val="2ECC6D62"/>
    <w:rsid w:val="301D48B9"/>
    <w:rsid w:val="42590E51"/>
    <w:rsid w:val="67C10997"/>
    <w:rsid w:val="6A794C92"/>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6692</Words>
  <Characters>6855</Characters>
  <Lines>0</Lines>
  <Paragraphs>0</Paragraphs>
  <TotalTime>0</TotalTime>
  <ScaleCrop>false</ScaleCrop>
  <LinksUpToDate>false</LinksUpToDate>
  <CharactersWithSpaces>6921</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Administrator</cp:lastModifiedBy>
  <dcterms:modified xsi:type="dcterms:W3CDTF">2024-06-17T06:35:27Z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9A34362D9B51453191A94FBBCD0F2659_12</vt:lpwstr>
  </property>
</Properties>
</file>