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7743F">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公平竞争审查征求意见公告</w:t>
      </w:r>
    </w:p>
    <w:p w14:paraId="1396E37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根据《公平竞争审查制度实施细则》和《公平竞争审查条例》等文件精神，现就《</w:t>
      </w:r>
      <w:r>
        <w:rPr>
          <w:rFonts w:hint="eastAsia" w:ascii="仿宋_GB2312" w:hAnsi="仿宋_GB2312" w:eastAsia="仿宋_GB2312" w:cs="仿宋_GB2312"/>
          <w:sz w:val="32"/>
          <w:szCs w:val="32"/>
          <w:lang w:val="en-US" w:eastAsia="zh-CN"/>
        </w:rPr>
        <w:t>赣锋阿荣旗100万千瓦/400万千瓦时构网型储能项目投资合作协议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公开向社会征求意见，如认为本文件存在违反《公平竞争审查制度实施细则》和《公平竞争审查条例》等有关规定，</w:t>
      </w:r>
      <w:r>
        <w:rPr>
          <w:rFonts w:hint="eastAsia" w:ascii="仿宋_GB2312" w:hAnsi="仿宋_GB2312" w:eastAsia="仿宋_GB2312" w:cs="仿宋_GB2312"/>
          <w:sz w:val="32"/>
          <w:szCs w:val="32"/>
          <w:lang w:eastAsia="zh-CN"/>
        </w:rPr>
        <w:t>唅</w:t>
      </w:r>
      <w:r>
        <w:rPr>
          <w:rFonts w:hint="eastAsia" w:ascii="仿宋_GB2312" w:hAnsi="仿宋_GB2312" w:eastAsia="仿宋_GB2312" w:cs="仿宋_GB2312"/>
          <w:sz w:val="32"/>
          <w:szCs w:val="32"/>
        </w:rPr>
        <w:t>有排除和限制市场竞争的内容，</w:t>
      </w:r>
      <w:r>
        <w:rPr>
          <w:rFonts w:hint="eastAsia" w:ascii="仿宋_GB2312" w:hAnsi="仿宋_GB2312" w:eastAsia="仿宋_GB2312" w:cs="仿宋_GB2312"/>
          <w:sz w:val="32"/>
          <w:szCs w:val="32"/>
          <w:lang w:eastAsia="zh-CN"/>
        </w:rPr>
        <w:t>请</w:t>
      </w:r>
      <w:r>
        <w:rPr>
          <w:rFonts w:hint="eastAsia" w:ascii="仿宋_GB2312" w:hAnsi="仿宋_GB2312" w:eastAsia="仿宋_GB2312" w:cs="仿宋_GB2312"/>
          <w:sz w:val="32"/>
          <w:szCs w:val="32"/>
        </w:rPr>
        <w:t>于</w:t>
      </w: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17:00</w:t>
      </w:r>
      <w:r>
        <w:rPr>
          <w:rFonts w:hint="eastAsia" w:ascii="仿宋_GB2312" w:hAnsi="仿宋_GB2312" w:eastAsia="仿宋_GB2312" w:cs="仿宋_GB2312"/>
          <w:sz w:val="32"/>
          <w:szCs w:val="32"/>
        </w:rPr>
        <w:t>前反馈至</w:t>
      </w:r>
      <w:r>
        <w:rPr>
          <w:rFonts w:hint="eastAsia" w:ascii="仿宋_GB2312" w:hAnsi="仿宋_GB2312" w:eastAsia="仿宋_GB2312" w:cs="仿宋_GB2312"/>
          <w:sz w:val="32"/>
          <w:szCs w:val="32"/>
          <w:lang w:eastAsia="zh-CN"/>
        </w:rPr>
        <w:t>阿荣旗发展和改革委员会</w:t>
      </w:r>
      <w:r>
        <w:rPr>
          <w:rFonts w:hint="eastAsia" w:ascii="仿宋_GB2312" w:hAnsi="仿宋_GB2312" w:eastAsia="仿宋_GB2312" w:cs="仿宋_GB2312"/>
          <w:sz w:val="32"/>
          <w:szCs w:val="32"/>
        </w:rPr>
        <w:t>。</w:t>
      </w:r>
      <w:bookmarkStart w:id="0" w:name="_GoBack"/>
      <w:bookmarkEnd w:id="0"/>
    </w:p>
    <w:p w14:paraId="4C9FBAF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邮寄地址：内蒙古自治区呼伦贝尔市阿荣旗行政中心发改委502室</w:t>
      </w:r>
    </w:p>
    <w:p w14:paraId="47415A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联系电话：</w:t>
      </w:r>
      <w:r>
        <w:rPr>
          <w:rFonts w:hint="eastAsia" w:ascii="仿宋_GB2312" w:hAnsi="仿宋_GB2312" w:eastAsia="仿宋_GB2312" w:cs="仿宋_GB2312"/>
          <w:sz w:val="32"/>
          <w:szCs w:val="32"/>
          <w:lang w:val="en-US" w:eastAsia="zh-CN"/>
        </w:rPr>
        <w:t>4217385</w:t>
      </w:r>
    </w:p>
    <w:p w14:paraId="7752CAC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电子邮箱：arqfgj@163.com</w:t>
      </w:r>
    </w:p>
    <w:p w14:paraId="7E734D2F">
      <w:pPr>
        <w:pStyle w:val="3"/>
        <w:rPr>
          <w:rFonts w:hint="eastAsia" w:ascii="仿宋_GB2312" w:hAnsi="仿宋_GB2312" w:eastAsia="仿宋_GB2312" w:cs="仿宋_GB2312"/>
          <w:sz w:val="32"/>
          <w:szCs w:val="32"/>
          <w:lang w:val="en-US" w:eastAsia="zh-CN"/>
        </w:rPr>
      </w:pPr>
    </w:p>
    <w:p w14:paraId="7624CD3D">
      <w:pPr>
        <w:pStyle w:val="3"/>
        <w:rPr>
          <w:rFonts w:hint="eastAsia" w:ascii="仿宋_GB2312" w:hAnsi="仿宋_GB2312" w:eastAsia="仿宋_GB2312" w:cs="仿宋_GB2312"/>
          <w:sz w:val="32"/>
          <w:szCs w:val="32"/>
          <w:lang w:val="en-US" w:eastAsia="zh-CN"/>
        </w:rPr>
      </w:pPr>
    </w:p>
    <w:p w14:paraId="3E8BF9D8">
      <w:pPr>
        <w:pStyle w:val="3"/>
        <w:rPr>
          <w:rFonts w:hint="eastAsia" w:ascii="仿宋_GB2312" w:hAnsi="仿宋_GB2312" w:eastAsia="仿宋_GB2312" w:cs="仿宋_GB2312"/>
          <w:sz w:val="32"/>
          <w:szCs w:val="32"/>
          <w:lang w:val="en-US" w:eastAsia="zh-CN"/>
        </w:rPr>
      </w:pPr>
    </w:p>
    <w:p w14:paraId="2B444F66">
      <w:pPr>
        <w:pStyle w:val="3"/>
        <w:rPr>
          <w:rFonts w:hint="eastAsia" w:ascii="仿宋_GB2312" w:hAnsi="仿宋_GB2312" w:eastAsia="仿宋_GB2312" w:cs="仿宋_GB2312"/>
          <w:sz w:val="32"/>
          <w:szCs w:val="32"/>
          <w:lang w:val="en-US" w:eastAsia="zh-CN"/>
        </w:rPr>
      </w:pPr>
    </w:p>
    <w:p w14:paraId="5FE68923">
      <w:pPr>
        <w:pStyle w:val="3"/>
        <w:rPr>
          <w:rFonts w:hint="eastAsia" w:ascii="仿宋_GB2312" w:hAnsi="仿宋_GB2312" w:eastAsia="仿宋_GB2312" w:cs="仿宋_GB2312"/>
          <w:sz w:val="32"/>
          <w:szCs w:val="32"/>
          <w:lang w:val="en-US" w:eastAsia="zh-CN"/>
        </w:rPr>
      </w:pPr>
    </w:p>
    <w:p w14:paraId="70E594FB">
      <w:pPr>
        <w:pStyle w:val="3"/>
        <w:rPr>
          <w:rFonts w:hint="eastAsia" w:ascii="仿宋_GB2312" w:hAnsi="仿宋_GB2312" w:eastAsia="仿宋_GB2312" w:cs="仿宋_GB2312"/>
          <w:sz w:val="32"/>
          <w:szCs w:val="32"/>
          <w:lang w:val="en-US" w:eastAsia="zh-CN"/>
        </w:rPr>
      </w:pPr>
    </w:p>
    <w:p w14:paraId="0169E659">
      <w:pPr>
        <w:pStyle w:val="3"/>
        <w:rPr>
          <w:rFonts w:hint="eastAsia" w:ascii="仿宋_GB2312" w:hAnsi="仿宋_GB2312" w:eastAsia="仿宋_GB2312" w:cs="仿宋_GB2312"/>
          <w:sz w:val="32"/>
          <w:szCs w:val="32"/>
          <w:lang w:val="en-US" w:eastAsia="zh-CN"/>
        </w:rPr>
      </w:pPr>
    </w:p>
    <w:p w14:paraId="069407A2">
      <w:pPr>
        <w:pStyle w:val="3"/>
        <w:rPr>
          <w:rFonts w:hint="eastAsia" w:ascii="仿宋_GB2312" w:hAnsi="仿宋_GB2312" w:eastAsia="仿宋_GB2312" w:cs="仿宋_GB2312"/>
          <w:sz w:val="32"/>
          <w:szCs w:val="32"/>
          <w:lang w:val="en-US" w:eastAsia="zh-CN"/>
        </w:rPr>
      </w:pPr>
    </w:p>
    <w:p w14:paraId="6ACF7C18">
      <w:pPr>
        <w:pStyle w:val="3"/>
        <w:rPr>
          <w:rFonts w:hint="eastAsia" w:ascii="仿宋_GB2312" w:hAnsi="仿宋_GB2312" w:eastAsia="仿宋_GB2312" w:cs="仿宋_GB2312"/>
          <w:sz w:val="32"/>
          <w:szCs w:val="32"/>
          <w:lang w:val="en-US" w:eastAsia="zh-CN"/>
        </w:rPr>
      </w:pPr>
    </w:p>
    <w:p w14:paraId="7F529734">
      <w:pPr>
        <w:pStyle w:val="3"/>
        <w:rPr>
          <w:rFonts w:hint="eastAsia" w:ascii="仿宋_GB2312" w:hAnsi="仿宋_GB2312" w:eastAsia="仿宋_GB2312" w:cs="仿宋_GB2312"/>
          <w:sz w:val="32"/>
          <w:szCs w:val="32"/>
          <w:lang w:val="en-US" w:eastAsia="zh-CN"/>
        </w:rPr>
      </w:pPr>
    </w:p>
    <w:p w14:paraId="41969506">
      <w:pPr>
        <w:pStyle w:val="3"/>
        <w:rPr>
          <w:rFonts w:hint="eastAsia" w:ascii="仿宋_GB2312" w:hAnsi="仿宋_GB2312" w:eastAsia="仿宋_GB2312" w:cs="仿宋_GB2312"/>
          <w:sz w:val="32"/>
          <w:szCs w:val="32"/>
          <w:lang w:val="en-US" w:eastAsia="zh-CN"/>
        </w:rPr>
      </w:pPr>
    </w:p>
    <w:p w14:paraId="60B8A180">
      <w:pPr>
        <w:spacing w:after="312" w:afterLines="100" w:line="600" w:lineRule="exact"/>
        <w:jc w:val="center"/>
        <w:rPr>
          <w:rFonts w:hint="eastAsia"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赣锋阿荣旗100万千瓦/400万千瓦时构网型储能项目投资合作协议</w:t>
      </w:r>
    </w:p>
    <w:p w14:paraId="26189261">
      <w:pPr>
        <w:spacing w:after="312" w:afterLines="100" w:line="600" w:lineRule="exact"/>
        <w:rPr>
          <w:rFonts w:hint="eastAsia" w:ascii="宋体" w:hAnsi="宋体" w:cs="Arial"/>
          <w:b/>
          <w:color w:val="000000"/>
          <w:sz w:val="44"/>
          <w:szCs w:val="44"/>
        </w:rPr>
      </w:pPr>
    </w:p>
    <w:p w14:paraId="17B455C7">
      <w:pPr>
        <w:spacing w:line="600" w:lineRule="exac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甲方：</w:t>
      </w:r>
      <w:r>
        <w:rPr>
          <w:rFonts w:hint="eastAsia" w:ascii="仿宋_GB2312" w:hAnsi="仿宋_GB2312" w:eastAsia="仿宋_GB2312" w:cs="仿宋_GB2312"/>
          <w:sz w:val="32"/>
          <w:szCs w:val="32"/>
        </w:rPr>
        <w:t>阿荣旗人民政府</w:t>
      </w:r>
    </w:p>
    <w:p w14:paraId="7C4B7228">
      <w:pPr>
        <w:spacing w:line="600" w:lineRule="exac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乙方：内蒙古赣锋锂电科技有限公司</w:t>
      </w:r>
    </w:p>
    <w:p w14:paraId="75675194">
      <w:pPr>
        <w:spacing w:line="600" w:lineRule="exact"/>
        <w:ind w:firstLine="640" w:firstLineChars="200"/>
        <w:rPr>
          <w:rFonts w:hint="eastAsia" w:ascii="仿宋_GB2312" w:hAnsi="仿宋_GB2312" w:eastAsia="仿宋_GB2312" w:cs="仿宋_GB2312"/>
          <w:bCs/>
          <w:sz w:val="32"/>
          <w:szCs w:val="32"/>
        </w:rPr>
      </w:pPr>
    </w:p>
    <w:p w14:paraId="17B18E15">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甲乙双方本着务实、平等、互利的原则，经过友好协商，根据法律法规的相关规定，就乙方在内蒙古呼伦贝尔市阿荣旗投资建设</w:t>
      </w:r>
      <w:r>
        <w:rPr>
          <w:rFonts w:hint="eastAsia" w:ascii="仿宋_GB2312" w:hAnsi="仿宋_GB2312" w:eastAsia="仿宋_GB2312" w:cs="仿宋_GB2312"/>
          <w:spacing w:val="22"/>
          <w:sz w:val="32"/>
          <w:szCs w:val="32"/>
        </w:rPr>
        <w:t>赣锋阿荣旗100万千瓦/400万千瓦时构网型储能项目</w:t>
      </w:r>
      <w:r>
        <w:rPr>
          <w:rFonts w:hint="eastAsia" w:ascii="仿宋_GB2312" w:hAnsi="仿宋_GB2312" w:eastAsia="仿宋_GB2312" w:cs="仿宋_GB2312"/>
          <w:sz w:val="32"/>
          <w:szCs w:val="32"/>
        </w:rPr>
        <w:t>（以下简称“项目”），达成协议如下，甲乙双方共同遵守。</w:t>
      </w:r>
    </w:p>
    <w:p w14:paraId="11A48416">
      <w:pPr>
        <w:widowControl/>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一、项目开发建设管理方式</w:t>
      </w:r>
    </w:p>
    <w:p w14:paraId="6F6C0C44">
      <w:pPr>
        <w:pStyle w:val="5"/>
        <w:widowControl/>
        <w:spacing w:line="600" w:lineRule="exact"/>
        <w:rPr>
          <w:rFonts w:hint="eastAsia" w:hAnsi="仿宋_GB2312" w:cs="仿宋_GB2312"/>
          <w:color w:val="000000"/>
          <w:szCs w:val="32"/>
        </w:rPr>
      </w:pPr>
      <w:r>
        <w:rPr>
          <w:rFonts w:hint="eastAsia" w:hAnsi="仿宋_GB2312" w:cs="仿宋_GB2312"/>
          <w:szCs w:val="32"/>
        </w:rPr>
        <w:t>甲方同意乙方在其行政区内，在合理避让基本农田、天然林、乔木林、天然牧草地、生态红线范围、各类自然保护地和国家规定其他不允许建设的范围，选择适宜的场址，开发储能项目。在储能电站点位永久占用林地选址时，要充分考虑施工道路等临时性工程，也应避让天然林、乔木林</w:t>
      </w:r>
      <w:r>
        <w:rPr>
          <w:rFonts w:hint="eastAsia" w:hAnsi="仿宋_GB2312" w:cs="仿宋_GB2312"/>
          <w:color w:val="000000"/>
          <w:szCs w:val="32"/>
        </w:rPr>
        <w:t>。</w:t>
      </w:r>
      <w:r>
        <w:rPr>
          <w:rFonts w:hint="eastAsia" w:hAnsi="仿宋_GB2312" w:cs="仿宋_GB2312"/>
          <w:szCs w:val="32"/>
        </w:rPr>
        <w:t>甲方支持乙方项目建设、协调、服务工作；</w:t>
      </w:r>
      <w:r>
        <w:rPr>
          <w:rFonts w:hint="eastAsia" w:hAnsi="仿宋_GB2312" w:cs="仿宋_GB2312"/>
          <w:color w:val="000000"/>
          <w:szCs w:val="32"/>
        </w:rPr>
        <w:t>乙方是项目开发建设的业主，负责项目的整体开发投资和建设。</w:t>
      </w:r>
    </w:p>
    <w:p w14:paraId="1F1F8976">
      <w:pPr>
        <w:widowControl/>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二、项目概况</w:t>
      </w:r>
    </w:p>
    <w:p w14:paraId="17E937FB">
      <w:pPr>
        <w:spacing w:line="560" w:lineRule="exact"/>
        <w:ind w:firstLine="728" w:firstLineChars="200"/>
        <w:rPr>
          <w:rFonts w:hint="eastAsia" w:ascii="仿宋_GB2312" w:hAnsi="宋体" w:eastAsia="仿宋_GB2312"/>
          <w:sz w:val="32"/>
          <w:szCs w:val="32"/>
          <w:u w:val="single"/>
        </w:rPr>
      </w:pPr>
      <w:r>
        <w:rPr>
          <w:rFonts w:hint="eastAsia" w:ascii="仿宋_GB2312" w:hAnsi="仿宋_GB2312" w:eastAsia="仿宋_GB2312" w:cs="仿宋_GB2312"/>
          <w:spacing w:val="22"/>
          <w:sz w:val="32"/>
          <w:szCs w:val="32"/>
        </w:rPr>
        <w:t>项目名称：赣锋阿荣旗100万千瓦/400万千瓦时构网型储能项目</w:t>
      </w:r>
    </w:p>
    <w:p w14:paraId="69154FEE">
      <w:pPr>
        <w:pStyle w:val="7"/>
        <w:spacing w:line="560" w:lineRule="exact"/>
        <w:ind w:firstLine="728" w:firstLineChars="200"/>
        <w:rPr>
          <w:rFonts w:hint="eastAsia" w:eastAsia="仿宋"/>
          <w:color w:val="000000" w:themeColor="text1"/>
          <w:spacing w:val="22"/>
          <w:sz w:val="32"/>
          <w:szCs w:val="32"/>
          <w:u w:val="single"/>
          <w:lang w:val="en-US"/>
          <w14:textFill>
            <w14:solidFill>
              <w14:schemeClr w14:val="tx1"/>
            </w14:solidFill>
          </w14:textFill>
        </w:rPr>
      </w:pPr>
      <w:r>
        <w:rPr>
          <w:rFonts w:hint="eastAsia"/>
          <w:spacing w:val="22"/>
          <w:sz w:val="32"/>
          <w:szCs w:val="32"/>
          <w:lang w:val="en-US"/>
        </w:rPr>
        <w:t>建设内容：拟建设储能容量1GW/4GWh电站，分为两个子项目，每个子项目分别为0.5GW/2GWh；配套建设升压站工程、外送线路工程及对侧间隔改造工程。</w:t>
      </w:r>
    </w:p>
    <w:p w14:paraId="71A83CB1">
      <w:pPr>
        <w:spacing w:line="560" w:lineRule="exact"/>
        <w:ind w:firstLine="728" w:firstLineChars="200"/>
        <w:rPr>
          <w:rFonts w:hint="eastAsia" w:ascii="仿宋_GB2312" w:hAnsi="仿宋_GB2312" w:eastAsia="仿宋" w:cs="仿宋_GB2312"/>
          <w:spacing w:val="22"/>
          <w:sz w:val="32"/>
          <w:szCs w:val="32"/>
        </w:rPr>
      </w:pPr>
      <w:r>
        <w:rPr>
          <w:rFonts w:hint="eastAsia" w:ascii="仿宋_GB2312" w:hAnsi="仿宋_GB2312" w:eastAsia="仿宋_GB2312" w:cs="仿宋_GB2312"/>
          <w:spacing w:val="22"/>
          <w:sz w:val="32"/>
          <w:szCs w:val="32"/>
        </w:rPr>
        <w:t>项目投资额：</w:t>
      </w:r>
      <w:r>
        <w:rPr>
          <w:rFonts w:hint="eastAsia" w:ascii="仿宋_GB2312" w:hAnsi="仿宋_GB2312" w:eastAsia="仿宋_GB2312" w:cs="仿宋_GB2312"/>
          <w:spacing w:val="22"/>
          <w:sz w:val="32"/>
          <w:szCs w:val="32"/>
          <w:lang w:bidi="zh-CN"/>
        </w:rPr>
        <w:t>250000万元，项目乙方负责全额投资，乙方以人民币方式出资。</w:t>
      </w:r>
    </w:p>
    <w:p w14:paraId="5E2D4D55">
      <w:pPr>
        <w:widowControl/>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三、甲方的责任和义务</w:t>
      </w:r>
    </w:p>
    <w:p w14:paraId="0AFC999D">
      <w:pPr>
        <w:pStyle w:val="5"/>
        <w:widowControl/>
        <w:spacing w:line="600" w:lineRule="exact"/>
        <w:rPr>
          <w:rFonts w:hint="eastAsia" w:hAnsi="仿宋_GB2312" w:cs="仿宋_GB2312"/>
          <w:color w:val="000000"/>
          <w:szCs w:val="32"/>
        </w:rPr>
      </w:pPr>
      <w:r>
        <w:rPr>
          <w:rFonts w:hint="eastAsia" w:hAnsi="仿宋_GB2312" w:cs="仿宋_GB2312"/>
          <w:color w:val="000000"/>
          <w:szCs w:val="32"/>
        </w:rPr>
        <w:t>（一）甲方同意按照国家规定的供地方式向乙方提供其项目用地。</w:t>
      </w:r>
    </w:p>
    <w:p w14:paraId="179DC673">
      <w:pPr>
        <w:pStyle w:val="5"/>
        <w:widowControl/>
        <w:spacing w:line="600" w:lineRule="exact"/>
        <w:rPr>
          <w:rFonts w:hint="eastAsia" w:hAnsi="仿宋_GB2312" w:cs="仿宋_GB2312"/>
          <w:color w:val="000000"/>
          <w:szCs w:val="32"/>
        </w:rPr>
      </w:pPr>
      <w:r>
        <w:rPr>
          <w:rFonts w:hint="eastAsia" w:hAnsi="仿宋_GB2312" w:cs="仿宋_GB2312"/>
          <w:color w:val="000000"/>
          <w:szCs w:val="32"/>
        </w:rPr>
        <w:t>（二）甲方不参与乙方的运营、管理、开发等工作。</w:t>
      </w:r>
    </w:p>
    <w:p w14:paraId="1AD2D5EA">
      <w:pPr>
        <w:pStyle w:val="5"/>
        <w:widowControl/>
        <w:spacing w:line="600" w:lineRule="exact"/>
        <w:rPr>
          <w:rFonts w:hint="eastAsia" w:hAnsi="仿宋_GB2312" w:cs="仿宋_GB2312"/>
          <w:color w:val="000000"/>
          <w:szCs w:val="32"/>
        </w:rPr>
      </w:pPr>
      <w:r>
        <w:rPr>
          <w:rFonts w:hint="eastAsia" w:hAnsi="仿宋_GB2312" w:cs="仿宋_GB2312"/>
          <w:szCs w:val="32"/>
        </w:rPr>
        <w:t>（三）甲方抽调精干力量成立项目专班，主要为乙方全程提供脱产服务和“一对一”精准服务。专班可协调相关部门，“急事急办”“特事特办”，遇到急难问题直接提请主要领导研究解决，切实保证“调得动、起作用”。</w:t>
      </w:r>
      <w:r>
        <w:rPr>
          <w:rFonts w:hint="eastAsia" w:hAnsi="仿宋_GB2312" w:cs="仿宋_GB2312"/>
          <w:color w:val="000000"/>
          <w:szCs w:val="32"/>
        </w:rPr>
        <w:t xml:space="preserve">         </w:t>
      </w:r>
    </w:p>
    <w:p w14:paraId="256524F6">
      <w:pPr>
        <w:widowControl/>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四、乙方的责任和义务</w:t>
      </w:r>
    </w:p>
    <w:p w14:paraId="3447B8A0">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（一）乙方应在甲方所在地设立注册一个具有独立法人资格的项目运营公司（以实际注册为准），自主经营、自负盈亏。</w:t>
      </w:r>
    </w:p>
    <w:p w14:paraId="3E82A200">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（二）乙方严格按照本协议约定的项目开发建设内容落实项目投资和建设计划，并加快项目建设进度。</w:t>
      </w:r>
    </w:p>
    <w:p w14:paraId="348DA59B">
      <w:pPr>
        <w:pStyle w:val="2"/>
      </w:pPr>
      <w:r>
        <w:rPr>
          <w:rFonts w:hint="eastAsia" w:ascii="仿宋_GB2312" w:hAnsi="仿宋_GB2312" w:eastAsia="仿宋_GB2312" w:cs="仿宋_GB2312"/>
          <w:color w:val="000000"/>
          <w:sz w:val="32"/>
          <w:szCs w:val="32"/>
        </w:rPr>
        <w:t>（三）乙方应实时向甲方提供项目进度情况报表及财务报表等资金投入相关证明材料。</w:t>
      </w:r>
    </w:p>
    <w:p w14:paraId="3916E95A">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（四）乙方的劳动用工优先招聘阿荣旗辖区内人员。</w:t>
      </w:r>
    </w:p>
    <w:p w14:paraId="3F02E475">
      <w:pPr>
        <w:widowControl/>
        <w:spacing w:line="600" w:lineRule="exact"/>
        <w:ind w:firstLine="640" w:firstLineChars="20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color w:val="000000"/>
          <w:sz w:val="32"/>
          <w:szCs w:val="32"/>
        </w:rPr>
        <w:t>（五）乙方严格落实项目环保措施，确保项目污染物排放达到国家环境保护规定的要求</w:t>
      </w:r>
      <w:r>
        <w:rPr>
          <w:rFonts w:hint="eastAsia" w:ascii="仿宋_GB2312" w:hAnsi="仿宋_GB2312" w:eastAsia="仿宋_GB2312" w:cs="仿宋_GB2312"/>
          <w:b/>
          <w:bCs/>
          <w:color w:val="000000"/>
          <w:sz w:val="32"/>
          <w:szCs w:val="32"/>
        </w:rPr>
        <w:t>。</w:t>
      </w:r>
    </w:p>
    <w:p w14:paraId="6D033045">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（六）乙方严格落实项目安全生产措施，确保项目建设和运行的安全。</w:t>
      </w:r>
    </w:p>
    <w:p w14:paraId="2E5FCA1E">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（七）乙方严格执行国家劳动用工政策，维护职工的合法权益。</w:t>
      </w:r>
    </w:p>
    <w:p w14:paraId="2BD9AEE6">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（八）乙方严格执行国家税收法规，依法照章纳税。</w:t>
      </w:r>
    </w:p>
    <w:p w14:paraId="59178AC4">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（九）乙方不得擅自改变项目土地用途，否则甲方将依法收回土地使用权。</w:t>
      </w:r>
    </w:p>
    <w:p w14:paraId="7733598A">
      <w:pPr>
        <w:widowControl/>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五、其他约定</w:t>
      </w:r>
    </w:p>
    <w:p w14:paraId="07FF0942">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（一）本协议书执行过程中如出现争议，由双方协商解决；协商不成的应向甲方所在地人民法院提起诉讼。</w:t>
      </w:r>
    </w:p>
    <w:p w14:paraId="5E12E1D8">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（二）本协议书未尽事宜，由双方另行协商签订补充协议；本协议与附件及补充协议具有同等法律效力。</w:t>
      </w:r>
    </w:p>
    <w:p w14:paraId="156F1681">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color w:val="000000"/>
          <w:sz w:val="32"/>
          <w:szCs w:val="32"/>
        </w:rPr>
        <w:t>本协议书经甲、乙双方法定代表人签字并加盖公章后生效。本协议一式肆份，甲、乙双方各执贰份，具有同等法律效力。</w:t>
      </w:r>
    </w:p>
    <w:p w14:paraId="61BF1014">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br w:type="page"/>
      </w:r>
    </w:p>
    <w:p w14:paraId="79D8B876">
      <w:pPr>
        <w:adjustRightInd w:val="0"/>
        <w:snapToGrid w:val="0"/>
        <w:spacing w:line="600" w:lineRule="exact"/>
        <w:ind w:firstLine="640" w:firstLineChars="200"/>
        <w:jc w:val="left"/>
        <w:rPr>
          <w:rFonts w:ascii="Calibri" w:hAnsi="Calibri"/>
          <w:sz w:val="28"/>
          <w:szCs w:val="28"/>
        </w:rPr>
      </w:pPr>
      <w:r>
        <w:rPr>
          <w:rFonts w:hint="eastAsia" w:ascii="仿宋_GB2312" w:hAnsi="仿宋_GB2312" w:eastAsia="仿宋_GB2312" w:cs="仿宋_GB2312"/>
          <w:color w:val="000000"/>
          <w:sz w:val="32"/>
          <w:szCs w:val="32"/>
        </w:rPr>
        <w:t>（此页无正文）</w:t>
      </w:r>
    </w:p>
    <w:p w14:paraId="0A2987F9">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甲方：</w:t>
      </w:r>
      <w:r>
        <w:rPr>
          <w:rFonts w:hint="eastAsia" w:ascii="仿宋_GB2312" w:hAnsi="仿宋_GB2312" w:eastAsia="仿宋_GB2312" w:cs="仿宋_GB2312"/>
          <w:sz w:val="32"/>
          <w:szCs w:val="32"/>
        </w:rPr>
        <w:t>阿荣旗人民政府</w:t>
      </w:r>
      <w:r>
        <w:rPr>
          <w:rFonts w:hint="eastAsia" w:ascii="仿宋_GB2312" w:hAnsi="仿宋_GB2312" w:eastAsia="仿宋_GB2312" w:cs="仿宋_GB2312"/>
          <w:color w:val="000000"/>
          <w:sz w:val="32"/>
          <w:szCs w:val="32"/>
        </w:rPr>
        <w:t>（盖章）</w:t>
      </w:r>
    </w:p>
    <w:p w14:paraId="76520DBB">
      <w:pPr>
        <w:widowControl/>
        <w:spacing w:line="600" w:lineRule="exact"/>
        <w:ind w:firstLine="640" w:firstLineChars="200"/>
        <w:rPr>
          <w:rFonts w:hint="eastAsia" w:ascii="仿宋_GB2312" w:hAnsi="仿宋_GB2312" w:eastAsia="仿宋_GB2312" w:cs="仿宋_GB2312"/>
          <w:color w:val="000000"/>
          <w:sz w:val="32"/>
          <w:szCs w:val="32"/>
        </w:rPr>
      </w:pPr>
    </w:p>
    <w:p w14:paraId="44E5BA91">
      <w:pPr>
        <w:widowControl/>
        <w:spacing w:line="600" w:lineRule="exact"/>
        <w:ind w:firstLine="640" w:firstLineChars="200"/>
        <w:rPr>
          <w:rFonts w:hint="eastAsia" w:ascii="仿宋_GB2312" w:hAnsi="仿宋_GB2312" w:eastAsia="仿宋_GB2312" w:cs="仿宋_GB2312"/>
          <w:color w:val="000000"/>
          <w:sz w:val="32"/>
          <w:szCs w:val="32"/>
        </w:rPr>
      </w:pPr>
    </w:p>
    <w:p w14:paraId="3C331B6D">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法定代表人（或授权代表人）： </w:t>
      </w:r>
    </w:p>
    <w:p w14:paraId="0FAFFAC5">
      <w:pPr>
        <w:widowControl/>
        <w:spacing w:line="600" w:lineRule="exact"/>
        <w:ind w:firstLine="640" w:firstLineChars="200"/>
        <w:rPr>
          <w:rFonts w:hint="eastAsia" w:ascii="仿宋_GB2312" w:hAnsi="仿宋_GB2312" w:eastAsia="仿宋_GB2312" w:cs="仿宋_GB2312"/>
          <w:color w:val="000000"/>
          <w:sz w:val="32"/>
          <w:szCs w:val="32"/>
        </w:rPr>
      </w:pPr>
    </w:p>
    <w:p w14:paraId="6D3406B2">
      <w:pPr>
        <w:widowControl/>
        <w:spacing w:line="600" w:lineRule="exact"/>
        <w:ind w:firstLine="640" w:firstLineChars="200"/>
        <w:rPr>
          <w:rFonts w:hint="eastAsia" w:ascii="仿宋_GB2312" w:hAnsi="仿宋_GB2312" w:eastAsia="仿宋_GB2312" w:cs="仿宋_GB2312"/>
          <w:color w:val="000000"/>
          <w:sz w:val="32"/>
          <w:szCs w:val="32"/>
        </w:rPr>
      </w:pPr>
    </w:p>
    <w:p w14:paraId="7FF1BE2A">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签署日期：     年   月   日 </w:t>
      </w:r>
    </w:p>
    <w:p w14:paraId="781959D9">
      <w:pPr>
        <w:widowControl/>
        <w:spacing w:line="600" w:lineRule="exact"/>
        <w:ind w:firstLine="640" w:firstLineChars="200"/>
        <w:rPr>
          <w:rFonts w:hint="eastAsia" w:ascii="仿宋_GB2312" w:hAnsi="仿宋_GB2312" w:eastAsia="仿宋_GB2312" w:cs="仿宋_GB2312"/>
          <w:color w:val="000000"/>
          <w:sz w:val="32"/>
          <w:szCs w:val="32"/>
        </w:rPr>
      </w:pPr>
    </w:p>
    <w:p w14:paraId="7F98DF20">
      <w:pPr>
        <w:widowControl/>
        <w:spacing w:line="600" w:lineRule="exact"/>
        <w:ind w:firstLine="640" w:firstLineChars="200"/>
        <w:rPr>
          <w:rFonts w:hint="eastAsia" w:ascii="仿宋_GB2312" w:hAnsi="仿宋_GB2312" w:eastAsia="仿宋_GB2312" w:cs="仿宋_GB2312"/>
          <w:color w:val="000000"/>
          <w:sz w:val="32"/>
          <w:szCs w:val="32"/>
        </w:rPr>
      </w:pPr>
    </w:p>
    <w:p w14:paraId="26B4D439">
      <w:pPr>
        <w:widowControl/>
        <w:spacing w:line="600" w:lineRule="exact"/>
        <w:ind w:firstLine="640" w:firstLineChars="200"/>
        <w:rPr>
          <w:rFonts w:hint="eastAsia" w:ascii="仿宋_GB2312" w:hAnsi="仿宋_GB2312" w:eastAsia="仿宋_GB2312" w:cs="仿宋_GB2312"/>
          <w:color w:val="000000"/>
          <w:sz w:val="32"/>
          <w:szCs w:val="32"/>
        </w:rPr>
      </w:pPr>
    </w:p>
    <w:p w14:paraId="023E6374">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乙方：</w:t>
      </w:r>
      <w:r>
        <w:rPr>
          <w:rFonts w:hint="eastAsia" w:ascii="仿宋_GB2312" w:hAnsi="仿宋_GB2312" w:eastAsia="仿宋_GB2312" w:cs="仿宋_GB2312"/>
          <w:bCs/>
          <w:sz w:val="32"/>
          <w:szCs w:val="32"/>
        </w:rPr>
        <w:t>内蒙古赣锋锂电科技有限公司</w:t>
      </w:r>
      <w:r>
        <w:rPr>
          <w:rFonts w:hint="eastAsia" w:ascii="仿宋_GB2312" w:hAnsi="仿宋_GB2312" w:eastAsia="仿宋_GB2312" w:cs="仿宋_GB2312"/>
          <w:color w:val="000000"/>
          <w:sz w:val="32"/>
          <w:szCs w:val="32"/>
        </w:rPr>
        <w:t>（盖章）</w:t>
      </w:r>
    </w:p>
    <w:p w14:paraId="2E7A1D54">
      <w:pPr>
        <w:widowControl/>
        <w:spacing w:line="600" w:lineRule="exact"/>
        <w:ind w:firstLine="640" w:firstLineChars="200"/>
        <w:rPr>
          <w:rFonts w:hint="eastAsia" w:ascii="仿宋_GB2312" w:hAnsi="仿宋_GB2312" w:eastAsia="仿宋_GB2312" w:cs="仿宋_GB2312"/>
          <w:color w:val="000000"/>
          <w:sz w:val="32"/>
          <w:szCs w:val="32"/>
        </w:rPr>
      </w:pPr>
    </w:p>
    <w:p w14:paraId="1DC3DE3C">
      <w:pPr>
        <w:widowControl/>
        <w:spacing w:line="600" w:lineRule="exact"/>
        <w:ind w:firstLine="640" w:firstLineChars="200"/>
        <w:rPr>
          <w:rFonts w:hint="eastAsia" w:ascii="仿宋_GB2312" w:hAnsi="仿宋_GB2312" w:eastAsia="仿宋_GB2312" w:cs="仿宋_GB2312"/>
          <w:color w:val="000000"/>
          <w:sz w:val="32"/>
          <w:szCs w:val="32"/>
        </w:rPr>
      </w:pPr>
    </w:p>
    <w:p w14:paraId="7E316F8C">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法定代表人（或授权代表人）： </w:t>
      </w:r>
    </w:p>
    <w:p w14:paraId="49914033">
      <w:pPr>
        <w:widowControl/>
        <w:spacing w:line="600" w:lineRule="exact"/>
        <w:ind w:firstLine="640" w:firstLineChars="200"/>
        <w:rPr>
          <w:rFonts w:hint="eastAsia" w:ascii="仿宋_GB2312" w:hAnsi="仿宋_GB2312" w:eastAsia="仿宋_GB2312" w:cs="仿宋_GB2312"/>
          <w:color w:val="000000"/>
          <w:sz w:val="32"/>
          <w:szCs w:val="32"/>
        </w:rPr>
      </w:pPr>
    </w:p>
    <w:p w14:paraId="6458C58F">
      <w:pPr>
        <w:widowControl/>
        <w:spacing w:line="600" w:lineRule="exact"/>
        <w:ind w:firstLine="640" w:firstLineChars="200"/>
        <w:rPr>
          <w:rFonts w:hint="eastAsia" w:ascii="仿宋_GB2312" w:hAnsi="仿宋_GB2312" w:eastAsia="仿宋_GB2312" w:cs="仿宋_GB2312"/>
          <w:color w:val="000000"/>
          <w:sz w:val="32"/>
          <w:szCs w:val="32"/>
        </w:rPr>
      </w:pPr>
    </w:p>
    <w:p w14:paraId="3C9FE168">
      <w:pPr>
        <w:widowControl/>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签署日期：     年   月   日 </w:t>
      </w:r>
    </w:p>
    <w:p w14:paraId="40798753">
      <w:pPr>
        <w:pStyle w:val="3"/>
        <w:ind w:left="0" w:leftChars="0" w:firstLine="0" w:firstLineChars="0"/>
        <w:rPr>
          <w:rFonts w:hint="eastAsia" w:ascii="仿宋_GB2312" w:hAnsi="仿宋_GB2312" w:eastAsia="仿宋_GB2312" w:cs="仿宋_GB2312"/>
          <w:sz w:val="32"/>
          <w:szCs w:val="32"/>
          <w:lang w:val="en-US" w:eastAsia="zh-CN"/>
        </w:rPr>
      </w:pPr>
    </w:p>
    <w:p w14:paraId="0E93F569">
      <w:pPr>
        <w:pStyle w:val="3"/>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xMDI2Yzc5ODkyODE1Njg1M2M5NjMwYmM2Y2NkNWYifQ=="/>
  </w:docVars>
  <w:rsids>
    <w:rsidRoot w:val="228F3FB3"/>
    <w:rsid w:val="04F108B9"/>
    <w:rsid w:val="228F3FB3"/>
    <w:rsid w:val="33CD68BF"/>
    <w:rsid w:val="43C00C9F"/>
    <w:rsid w:val="5E1B57D2"/>
    <w:rsid w:val="723F5A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NormalIndent"/>
    <w:basedOn w:val="1"/>
    <w:next w:val="1"/>
    <w:qFormat/>
    <w:uiPriority w:val="0"/>
    <w:pPr>
      <w:ind w:firstLine="567"/>
      <w:textAlignment w:val="baseline"/>
    </w:pPr>
  </w:style>
  <w:style w:type="paragraph" w:styleId="3">
    <w:name w:val="Normal Indent"/>
    <w:basedOn w:val="1"/>
    <w:qFormat/>
    <w:uiPriority w:val="0"/>
    <w:pPr>
      <w:ind w:firstLine="420"/>
    </w:pPr>
  </w:style>
  <w:style w:type="paragraph" w:styleId="4">
    <w:name w:val="Body Text"/>
    <w:basedOn w:val="1"/>
    <w:qFormat/>
    <w:uiPriority w:val="1"/>
    <w:pPr>
      <w:spacing w:after="120"/>
    </w:pPr>
  </w:style>
  <w:style w:type="paragraph" w:styleId="5">
    <w:name w:val="Body Text Indent"/>
    <w:basedOn w:val="1"/>
    <w:qFormat/>
    <w:uiPriority w:val="0"/>
    <w:pPr>
      <w:spacing w:line="560" w:lineRule="exact"/>
      <w:ind w:firstLine="640" w:firstLineChars="200"/>
    </w:pPr>
    <w:rPr>
      <w:rFonts w:ascii="仿宋_GB2312" w:eastAsia="仿宋_GB2312"/>
      <w:sz w:val="32"/>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4"/>
    <w:next w:val="1"/>
    <w:qFormat/>
    <w:uiPriority w:val="0"/>
    <w:pPr>
      <w:spacing w:after="0"/>
      <w:ind w:firstLine="420" w:firstLineChars="100"/>
    </w:pPr>
    <w:rPr>
      <w:rFonts w:ascii="仿宋_GB2312" w:hAnsi="仿宋_GB2312" w:eastAsia="仿宋_GB2312" w:cs="仿宋_GB2312"/>
      <w:sz w:val="28"/>
      <w:lang w:val="zh-CN" w:bidi="zh-CN"/>
    </w:rPr>
  </w:style>
  <w:style w:type="character" w:styleId="10">
    <w:name w:val="Strong"/>
    <w:basedOn w:val="9"/>
    <w:qFormat/>
    <w:uiPriority w:val="0"/>
    <w:rPr>
      <w:b/>
    </w:rPr>
  </w:style>
  <w:style w:type="paragraph" w:customStyle="1" w:styleId="11">
    <w:name w:val="Heading2"/>
    <w:basedOn w:val="1"/>
    <w:next w:val="1"/>
    <w:qFormat/>
    <w:uiPriority w:val="0"/>
    <w:pPr>
      <w:keepNext/>
      <w:keepLines/>
      <w:spacing w:before="260" w:after="260" w:line="413" w:lineRule="auto"/>
      <w:textAlignment w:val="baseline"/>
    </w:pPr>
    <w:rPr>
      <w:rFonts w:ascii="Arial" w:hAnsi="Arial" w:eastAsia="黑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1397</Words>
  <Characters>1467</Characters>
  <Lines>0</Lines>
  <Paragraphs>0</Paragraphs>
  <TotalTime>4</TotalTime>
  <ScaleCrop>false</ScaleCrop>
  <LinksUpToDate>false</LinksUpToDate>
  <CharactersWithSpaces>1502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2024-11-04T00:56:00Z</dcterms:created>
  <dc:creator>Administrator</dc:creator>
  <cp:lastModifiedBy>微风</cp:lastModifiedBy>
  <dcterms:modified xsi:type="dcterms:W3CDTF">2025-05-20T11:05:18Z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69AD9B5475C94DA9938F72EC9FF30157_11</vt:lpwstr>
  </property>
  <property fmtid="{D5CDD505-2E9C-101B-9397-08002B2CF9AE}" pid="4" name="KSOTemplateDocerSaveRecord">
    <vt:lpwstr>eyJoZGlkIjoiM2NlZjk4ZjAyYmVkZjllMzIxMzE2Yjc3Zjk2NzVlN2UiLCJ1c2VySWQiOiIxNjg3NjQ3MjExIn0=</vt:lpwstr>
  </property>
</Properties>
</file>