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6B033">
      <w:pPr>
        <w:pStyle w:val="2"/>
        <w:bidi w:val="0"/>
        <w:rPr>
          <w:rFonts w:hint="eastAsia"/>
        </w:rPr>
      </w:pPr>
      <w:bookmarkStart w:id="0" w:name="_GoBack"/>
      <w:r>
        <w:rPr>
          <w:rFonts w:hint="eastAsia"/>
          <w:lang w:val="en-US" w:eastAsia="zh-CN"/>
        </w:rPr>
        <w:t>《阿荣旗水网建设规划》</w:t>
      </w:r>
      <w:r>
        <w:rPr>
          <w:rFonts w:hint="eastAsia"/>
        </w:rPr>
        <w:t>起草说明</w:t>
      </w:r>
    </w:p>
    <w:bookmarkEnd w:id="0"/>
    <w:p w14:paraId="63B3AD0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eastAsia" w:ascii="黑体" w:hAnsi="黑体" w:eastAsia="黑体"/>
          <w:sz w:val="32"/>
          <w:szCs w:val="32"/>
        </w:rPr>
      </w:pPr>
    </w:p>
    <w:p w14:paraId="1A64D2A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一、起草背景及过程</w:t>
      </w:r>
    </w:p>
    <w:p w14:paraId="112F1D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8</w:t>
      </w:r>
      <w:r>
        <w:rPr>
          <w:rFonts w:ascii="仿宋_GB2312" w:eastAsia="仿宋_GB2312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日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水利部办公厅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水利部办公厅关于印发&lt;市县水网建设规划编制技术要点（</w:t>
      </w:r>
      <w:r>
        <w:rPr>
          <w:rFonts w:hint="eastAsia" w:cs="仿宋_GB2312"/>
          <w:sz w:val="32"/>
          <w:szCs w:val="32"/>
          <w:lang w:val="en-US" w:eastAsia="zh-CN"/>
        </w:rPr>
        <w:t>试行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）&gt;的通知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办规计</w:t>
      </w:r>
      <w:r>
        <w:rPr>
          <w:rFonts w:hint="eastAsia" w:ascii="仿宋_GB2312" w:hAnsi="仿宋_GB2312" w:eastAsia="仿宋_GB2312" w:cs="仿宋_GB2312"/>
          <w:sz w:val="32"/>
          <w:szCs w:val="32"/>
        </w:rPr>
        <w:t>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235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  <w:lang w:val="en-US" w:eastAsia="zh-CN"/>
        </w:rPr>
        <w:t>明确要求：加快市县水网建设规划编制工作。2024年10月29日，自治区水利厅印发《内蒙古自治区水利厅关于加快推进盟市、旗县水网建设规划编制工作的通知》，要求：2024年完成市县级水网建设规划批复</w:t>
      </w:r>
      <w:r>
        <w:rPr>
          <w:rFonts w:hint="eastAsia"/>
          <w:spacing w:val="-6"/>
          <w:sz w:val="32"/>
          <w:szCs w:val="32"/>
          <w:lang w:val="en-US" w:eastAsia="zh-CN"/>
        </w:rPr>
        <w:t>。</w:t>
      </w:r>
    </w:p>
    <w:p w14:paraId="559065B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深入贯彻习近平总书记关于加快构建国家水网的重要指示精神，落实《国家水网建设规划纲要》有关部署，加快完善国家水网建设规划体系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</w:rPr>
        <w:t>我局</w:t>
      </w:r>
      <w:r>
        <w:rPr>
          <w:rFonts w:hint="eastAsia" w:ascii="仿宋_GB2312" w:eastAsia="仿宋_GB2312"/>
          <w:sz w:val="32"/>
          <w:szCs w:val="32"/>
        </w:rPr>
        <w:t>编制了《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阿荣旗</w:t>
      </w:r>
      <w:r>
        <w:rPr>
          <w:rFonts w:hint="eastAsia"/>
          <w:sz w:val="32"/>
          <w:szCs w:val="32"/>
          <w:lang w:val="en-US" w:eastAsia="zh-CN"/>
        </w:rPr>
        <w:t>水网建设规划</w:t>
      </w:r>
      <w:r>
        <w:rPr>
          <w:rFonts w:hint="eastAsia" w:ascii="仿宋_GB2312" w:eastAsia="仿宋_GB2312"/>
          <w:sz w:val="32"/>
          <w:szCs w:val="32"/>
        </w:rPr>
        <w:t>》</w:t>
      </w:r>
      <w:r>
        <w:rPr>
          <w:rFonts w:hint="eastAsia"/>
          <w:sz w:val="32"/>
          <w:szCs w:val="32"/>
          <w:lang w:eastAsia="zh-CN"/>
        </w:rPr>
        <w:t>，《</w:t>
      </w:r>
      <w:r>
        <w:rPr>
          <w:rFonts w:hint="eastAsia"/>
          <w:sz w:val="32"/>
          <w:szCs w:val="32"/>
          <w:lang w:val="en-US" w:eastAsia="zh-CN"/>
        </w:rPr>
        <w:t>规划》已由呼伦贝尔市水利局完成审核。</w:t>
      </w:r>
    </w:p>
    <w:p w14:paraId="0D3B50D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阿荣旗水利局征求阿荣旗发展和改革委员会、阿荣旗财政局、呼伦贝尔市生态环境局阿荣旗分局、阿荣旗自然资源局、阿荣旗林业和草原局、阿荣旗文化和旅游局、阿荣旗住房和城乡建设局、阿荣旗交通运输局、阿荣旗农牧局和各乡镇人民政府的意见，经征求意见，阿荣旗住房和城乡建设局提出意见，已采纳，其他各单位、乡镇均无意见</w:t>
      </w:r>
      <w:r>
        <w:rPr>
          <w:rFonts w:hint="eastAsia"/>
          <w:sz w:val="32"/>
          <w:szCs w:val="32"/>
          <w:highlight w:val="none"/>
          <w:lang w:val="en-US" w:eastAsia="zh-CN"/>
        </w:rPr>
        <w:t>。</w:t>
      </w:r>
    </w:p>
    <w:p w14:paraId="43874D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ascii="黑体" w:hAnsi="黑体" w:eastAsia="黑体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000000"/>
          <w:sz w:val="32"/>
          <w:szCs w:val="32"/>
          <w:shd w:val="clear" w:color="auto" w:fill="FFFFFF"/>
        </w:rPr>
        <w:t>二、主要内容</w:t>
      </w:r>
    </w:p>
    <w:p w14:paraId="5D560F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eastAsia" w:eastAsia="仿宋_GB2312" w:cs="仿宋_GB2312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u w:val="none"/>
          <w:shd w:val="clear" w:color="auto" w:fill="FFFFFF"/>
        </w:rPr>
        <w:t>《</w:t>
      </w:r>
      <w:r>
        <w:rPr>
          <w:rFonts w:hint="eastAsia" w:ascii="仿宋_GB2312" w:eastAsia="仿宋_GB2312"/>
          <w:color w:val="auto"/>
          <w:sz w:val="32"/>
          <w:szCs w:val="32"/>
          <w:u w:val="none"/>
          <w:lang w:val="en-US" w:eastAsia="zh-CN"/>
        </w:rPr>
        <w:t>阿荣旗</w:t>
      </w:r>
      <w:r>
        <w:rPr>
          <w:rFonts w:hint="eastAsia"/>
          <w:color w:val="auto"/>
          <w:sz w:val="32"/>
          <w:szCs w:val="32"/>
          <w:u w:val="none"/>
          <w:lang w:val="en-US" w:eastAsia="zh-CN"/>
        </w:rPr>
        <w:t>水网建设规划</w:t>
      </w:r>
      <w:r>
        <w:rPr>
          <w:rFonts w:hint="eastAsia" w:ascii="仿宋_GB2312" w:eastAsia="仿宋_GB2312"/>
          <w:color w:val="auto"/>
          <w:sz w:val="32"/>
          <w:szCs w:val="32"/>
          <w:u w:val="none"/>
          <w:shd w:val="clear" w:color="auto" w:fill="FFFFFF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由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建设基础与面临形势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总体思路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构建防洪排涝网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构建城乡供水网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构建灌溉排水网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构建河湖生态保护网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  <w:lang w:val="zh-CN"/>
        </w:rPr>
        <w:t>数字孪生水网</w:t>
      </w:r>
      <w:r>
        <w:rPr>
          <w:rStyle w:val="16"/>
          <w:rFonts w:hint="eastAsia" w:ascii="Times New Roman" w:hAnsi="Times New Roman" w:cs="Times New Roman"/>
          <w:color w:val="auto"/>
          <w:sz w:val="32"/>
          <w:szCs w:val="32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推动水网高质量发展</w:t>
      </w:r>
      <w:r>
        <w:rPr>
          <w:rStyle w:val="16"/>
          <w:rFonts w:hint="eastAsia" w:ascii="Times New Roman" w:hAnsi="Times New Roman" w:cs="Times New Roman"/>
          <w:color w:val="auto"/>
          <w:sz w:val="32"/>
          <w:szCs w:val="32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重点项目与实施安排</w:t>
      </w:r>
      <w:r>
        <w:rPr>
          <w:rStyle w:val="16"/>
          <w:rFonts w:hint="eastAsia" w:ascii="Times New Roman" w:hAnsi="Times New Roman" w:cs="Times New Roman"/>
          <w:color w:val="auto"/>
          <w:sz w:val="32"/>
          <w:szCs w:val="32"/>
          <w:u w:val="none"/>
          <w:lang w:val="en-US" w:eastAsia="zh-CN"/>
        </w:rPr>
        <w:t>、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环境影响评价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val="en-US" w:eastAsia="zh-CN"/>
        </w:rPr>
        <w:t>和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  <w:lang w:val="zh-CN"/>
        </w:rPr>
        <w:t>保障措施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val="en-US" w:eastAsia="zh-CN"/>
        </w:rPr>
        <w:t>11个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部分组成</w:t>
      </w:r>
      <w:r>
        <w:rPr>
          <w:rFonts w:hint="eastAsia" w:cs="仿宋_GB2312"/>
          <w:color w:val="auto"/>
          <w:sz w:val="32"/>
          <w:szCs w:val="32"/>
          <w:highlight w:val="none"/>
          <w:u w:val="none"/>
          <w:lang w:eastAsia="zh-CN"/>
        </w:rPr>
        <w:t>。</w:t>
      </w:r>
    </w:p>
    <w:p w14:paraId="63D9B0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43" w:firstLineChars="200"/>
        <w:jc w:val="both"/>
        <w:rPr>
          <w:rFonts w:hint="eastAsia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建设基础与面临形势</w:t>
      </w: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cs="仿宋_GB2312"/>
          <w:color w:val="auto"/>
          <w:sz w:val="32"/>
          <w:szCs w:val="32"/>
          <w:highlight w:val="none"/>
          <w:lang w:val="en-US" w:eastAsia="zh-CN"/>
        </w:rPr>
        <w:t>分析了全旗水情特点、水利基础设施现状、存在的主要问题和建设需求。</w:t>
      </w:r>
    </w:p>
    <w:p w14:paraId="2411BE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43" w:firstLineChars="200"/>
        <w:jc w:val="both"/>
        <w:rPr>
          <w:rFonts w:hint="eastAsia" w:ascii="Times New Roman" w:hAnsi="Times New Roman"/>
          <w:sz w:val="32"/>
          <w:szCs w:val="32"/>
          <w:lang w:eastAsia="zh-CN"/>
        </w:rPr>
      </w:pP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总体思路</w:t>
      </w: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Times New Roman" w:hAnsi="Times New Roman" w:eastAsia="仿宋_GB2312"/>
          <w:sz w:val="32"/>
          <w:szCs w:val="32"/>
        </w:rPr>
        <w:t>有东北水网、自治区水网和市水网为依托，以阿荣旗自然河湖水系为基础，以联网、补网、强链为重点，优化水网布局、结构、功能和系统集成，明确水网“纲、目、结”，统筹存量和增量，加强互联互通，提出防洪排涝网、城乡供水网、灌溉排水网、河湖生态保护网、数字孪生水网建设任务和高质量发展重点举措，着力打通水网建设“最后一公里”，提升城乡水利基本公共服务水平</w:t>
      </w:r>
      <w:r>
        <w:rPr>
          <w:rFonts w:hint="eastAsia" w:ascii="Times New Roman" w:hAnsi="Times New Roman"/>
          <w:sz w:val="32"/>
          <w:szCs w:val="32"/>
          <w:lang w:eastAsia="zh-CN"/>
        </w:rPr>
        <w:t>。</w:t>
      </w:r>
    </w:p>
    <w:p w14:paraId="01FA61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43" w:firstLineChars="200"/>
        <w:jc w:val="both"/>
        <w:rPr>
          <w:rFonts w:hint="eastAsia" w:ascii="Times New Roman" w:hAnsi="Times New Roman" w:eastAsia="仿宋_GB2312"/>
          <w:color w:val="auto"/>
          <w:sz w:val="32"/>
          <w:szCs w:val="24"/>
        </w:rPr>
      </w:pPr>
      <w:r>
        <w:rPr>
          <w:rFonts w:hint="eastAsia" w:cs="仿宋_GB2312"/>
          <w:b/>
          <w:bCs/>
          <w:color w:val="auto"/>
          <w:spacing w:val="0"/>
          <w:sz w:val="32"/>
          <w:szCs w:val="32"/>
          <w:lang w:val="en-US" w:eastAsia="zh-CN"/>
        </w:rPr>
        <w:t>3.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构建防洪排涝网</w:t>
      </w:r>
      <w:r>
        <w:rPr>
          <w:rFonts w:hint="eastAsia" w:cs="仿宋_GB2312"/>
          <w:b/>
          <w:bCs/>
          <w:color w:val="auto"/>
          <w:spacing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仿宋_GB2312"/>
          <w:color w:val="auto"/>
          <w:sz w:val="32"/>
          <w:szCs w:val="24"/>
        </w:rPr>
        <w:t>在流域防洪规划嫩江防洪体系框架下，扎实推进各项工作，逐步形成以堤防、防洪水库和河道治理为重点工程措施、以防洪“四预”措施等为重点非工程措施的防洪减灾保障体系。</w:t>
      </w:r>
    </w:p>
    <w:p w14:paraId="5A14CB3A">
      <w:pPr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3" w:firstLineChars="200"/>
        <w:outlineLvl w:val="3"/>
        <w:rPr>
          <w:rFonts w:hint="eastAsia" w:ascii="Times New Roman" w:hAnsi="Times New Roman" w:eastAsia="仿宋_GB2312"/>
          <w:sz w:val="32"/>
          <w:szCs w:val="24"/>
        </w:rPr>
      </w:pP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构建城乡供水网</w:t>
      </w:r>
      <w:r>
        <w:rPr>
          <w:rFonts w:hint="eastAsia" w:cs="仿宋_GB2312"/>
          <w:b/>
          <w:bCs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提出</w:t>
      </w:r>
      <w:r>
        <w:rPr>
          <w:rFonts w:hint="eastAsia" w:ascii="Times New Roman" w:hAnsi="Times New Roman" w:eastAsia="仿宋_GB2312" w:cs="仿宋"/>
          <w:b w:val="0"/>
          <w:bCs w:val="0"/>
          <w:color w:val="auto"/>
          <w:sz w:val="32"/>
          <w:szCs w:val="32"/>
        </w:rPr>
        <w:t>水</w:t>
      </w:r>
      <w:r>
        <w:rPr>
          <w:rFonts w:hint="eastAsia" w:ascii="Times New Roman" w:hAnsi="Times New Roman" w:eastAsia="仿宋_GB2312" w:cs="仿宋"/>
          <w:b w:val="0"/>
          <w:bCs w:val="0"/>
          <w:sz w:val="32"/>
          <w:szCs w:val="32"/>
        </w:rPr>
        <w:t>资源配置与保障体系构建思路</w:t>
      </w:r>
      <w:r>
        <w:rPr>
          <w:rFonts w:hint="eastAsia" w:ascii="Times New Roman" w:hAnsi="Times New Roman" w:cs="仿宋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在新的</w:t>
      </w:r>
      <w:r>
        <w:rPr>
          <w:rFonts w:hint="eastAsia" w:ascii="Times New Roman" w:hAnsi="Times New Roman" w:eastAsia="仿宋_GB2312" w:cs="仿宋"/>
          <w:sz w:val="32"/>
          <w:szCs w:val="24"/>
        </w:rPr>
        <w:t>水资源配置与保障体系框架下，</w:t>
      </w:r>
      <w:r>
        <w:rPr>
          <w:rFonts w:hint="eastAsia" w:ascii="Times New Roman" w:hAnsi="Times New Roman" w:eastAsia="仿宋_GB2312"/>
          <w:sz w:val="32"/>
          <w:szCs w:val="32"/>
        </w:rPr>
        <w:t>强化城镇供水多水源保障</w:t>
      </w:r>
      <w:r>
        <w:rPr>
          <w:rFonts w:hint="eastAsia" w:ascii="Times New Roman" w:hAnsi="Times New Roman" w:eastAsia="仿宋_GB2312"/>
          <w:sz w:val="32"/>
          <w:szCs w:val="24"/>
        </w:rPr>
        <w:t>。</w:t>
      </w:r>
      <w:r>
        <w:rPr>
          <w:rFonts w:ascii="Times New Roman" w:hAnsi="Times New Roman" w:eastAsia="仿宋_GB2312"/>
          <w:sz w:val="32"/>
          <w:szCs w:val="24"/>
        </w:rPr>
        <w:t>优化农村牧区供水工程布局，采用集中</w:t>
      </w:r>
      <w:r>
        <w:rPr>
          <w:rFonts w:hint="eastAsia" w:ascii="Times New Roman" w:hAnsi="Times New Roman" w:eastAsia="仿宋_GB2312"/>
          <w:sz w:val="32"/>
          <w:szCs w:val="24"/>
        </w:rPr>
        <w:t>供水工程</w:t>
      </w:r>
      <w:r>
        <w:rPr>
          <w:rFonts w:ascii="Times New Roman" w:hAnsi="Times New Roman" w:eastAsia="仿宋_GB2312"/>
          <w:sz w:val="32"/>
          <w:szCs w:val="24"/>
        </w:rPr>
        <w:t>与</w:t>
      </w:r>
      <w:r>
        <w:rPr>
          <w:rFonts w:hint="eastAsia" w:ascii="Times New Roman" w:hAnsi="Times New Roman" w:eastAsia="仿宋_GB2312"/>
          <w:sz w:val="32"/>
          <w:szCs w:val="24"/>
        </w:rPr>
        <w:t>供水点</w:t>
      </w:r>
      <w:r>
        <w:rPr>
          <w:rFonts w:ascii="Times New Roman" w:hAnsi="Times New Roman" w:eastAsia="仿宋_GB2312"/>
          <w:sz w:val="32"/>
          <w:szCs w:val="24"/>
        </w:rPr>
        <w:t>相结合的方式，形成</w:t>
      </w:r>
      <w:r>
        <w:rPr>
          <w:rFonts w:hint="eastAsia" w:ascii="Times New Roman" w:hAnsi="Times New Roman" w:eastAsia="仿宋_GB2312"/>
          <w:sz w:val="32"/>
          <w:szCs w:val="24"/>
        </w:rPr>
        <w:t>“</w:t>
      </w:r>
      <w:r>
        <w:rPr>
          <w:rFonts w:ascii="Times New Roman" w:hAnsi="Times New Roman" w:eastAsia="仿宋_GB2312"/>
          <w:sz w:val="32"/>
          <w:szCs w:val="24"/>
        </w:rPr>
        <w:t>乡镇镇区</w:t>
      </w:r>
      <w:r>
        <w:rPr>
          <w:rFonts w:hint="eastAsia" w:ascii="Times New Roman" w:hAnsi="Times New Roman"/>
          <w:sz w:val="32"/>
          <w:szCs w:val="24"/>
          <w:lang w:eastAsia="zh-CN"/>
        </w:rPr>
        <w:t>—</w:t>
      </w:r>
      <w:r>
        <w:rPr>
          <w:rFonts w:ascii="Times New Roman" w:hAnsi="Times New Roman" w:eastAsia="仿宋_GB2312"/>
          <w:sz w:val="32"/>
          <w:szCs w:val="24"/>
        </w:rPr>
        <w:t>农村</w:t>
      </w:r>
      <w:r>
        <w:rPr>
          <w:rFonts w:hint="eastAsia" w:ascii="Times New Roman" w:hAnsi="Times New Roman" w:eastAsia="仿宋_GB2312"/>
          <w:sz w:val="32"/>
          <w:szCs w:val="24"/>
        </w:rPr>
        <w:t>”</w:t>
      </w:r>
      <w:r>
        <w:rPr>
          <w:rFonts w:ascii="Times New Roman" w:hAnsi="Times New Roman" w:eastAsia="仿宋_GB2312"/>
          <w:sz w:val="32"/>
          <w:szCs w:val="24"/>
        </w:rPr>
        <w:t>二级供水结构</w:t>
      </w:r>
      <w:r>
        <w:rPr>
          <w:rFonts w:hint="eastAsia" w:ascii="Times New Roman" w:hAnsi="Times New Roman" w:eastAsia="仿宋_GB2312"/>
          <w:sz w:val="32"/>
          <w:szCs w:val="24"/>
        </w:rPr>
        <w:t>，全面</w:t>
      </w:r>
      <w:r>
        <w:rPr>
          <w:rFonts w:ascii="Times New Roman" w:hAnsi="Times New Roman" w:eastAsia="仿宋_GB2312"/>
          <w:sz w:val="32"/>
          <w:szCs w:val="24"/>
        </w:rPr>
        <w:t>提升农村供水保障水平。</w:t>
      </w:r>
    </w:p>
    <w:p w14:paraId="42CB80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79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5.</w:t>
      </w:r>
      <w:r>
        <w:rPr>
          <w:rStyle w:val="16"/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构建灌溉排水网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以基准年全旗缺水率19%均为农业灌溉缺水及水资源时空分布不均、工程性缺水问题突出的现实状况为出发点，以水资源供需分析及配置成果为基础，以阿伦河、格尼河、音河、黄蒿沟四个流域的农业生产集中区为主体，在新的</w:t>
      </w:r>
      <w:r>
        <w:rPr>
          <w:rFonts w:hint="eastAsia" w:ascii="仿宋_GB2312" w:hAnsi="仿宋_GB2312" w:eastAsia="仿宋_GB2312" w:cs="仿宋_GB2312"/>
          <w:color w:val="auto"/>
          <w:sz w:val="32"/>
          <w:szCs w:val="24"/>
        </w:rPr>
        <w:t>水资源配置与保障体系框架下，加快实施以节水为核心的现有中型灌区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续建配套与节水改造，加快谋划新建大中型灌区，加快推动全旗农业灌溉向节约集约高效用水转变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789CC29C">
      <w:pPr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79" w:firstLineChars="200"/>
        <w:rPr>
          <w:rFonts w:hint="eastAsia" w:cs="仿宋_GB2312"/>
          <w:color w:val="FF0000"/>
          <w:spacing w:val="9"/>
          <w:sz w:val="32"/>
          <w:szCs w:val="32"/>
          <w:lang w:val="en-US" w:eastAsia="zh-CN"/>
        </w:rPr>
      </w:pPr>
      <w:r>
        <w:rPr>
          <w:rFonts w:hint="eastAsia" w:cs="仿宋_GB2312"/>
          <w:b/>
          <w:bCs/>
          <w:color w:val="auto"/>
          <w:spacing w:val="9"/>
          <w:sz w:val="32"/>
          <w:szCs w:val="32"/>
          <w:lang w:val="en-US" w:eastAsia="zh-CN"/>
        </w:rPr>
        <w:t>6.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构建河湖生态保护网</w:t>
      </w:r>
      <w:r>
        <w:rPr>
          <w:rFonts w:hint="eastAsia" w:cs="仿宋_GB2312"/>
          <w:b/>
          <w:bCs/>
          <w:color w:val="auto"/>
          <w:spacing w:val="9"/>
          <w:sz w:val="32"/>
          <w:szCs w:val="32"/>
          <w:lang w:val="en-US" w:eastAsia="zh-CN"/>
        </w:rPr>
        <w:t>。</w:t>
      </w:r>
      <w:r>
        <w:rPr>
          <w:rFonts w:ascii="Times New Roman" w:hAnsi="Times New Roman" w:eastAsia="仿宋_GB2312"/>
          <w:color w:val="auto"/>
          <w:sz w:val="32"/>
          <w:szCs w:val="24"/>
        </w:rPr>
        <w:t>坚持以流域为单元的山水林田湖草</w:t>
      </w:r>
      <w:r>
        <w:rPr>
          <w:rFonts w:hint="eastAsia" w:ascii="Times New Roman" w:hAnsi="Times New Roman" w:eastAsia="仿宋_GB2312"/>
          <w:color w:val="auto"/>
          <w:sz w:val="32"/>
          <w:szCs w:val="24"/>
        </w:rPr>
        <w:t>沙</w:t>
      </w:r>
      <w:r>
        <w:rPr>
          <w:rFonts w:ascii="Times New Roman" w:hAnsi="Times New Roman" w:eastAsia="仿宋_GB2312"/>
          <w:color w:val="auto"/>
          <w:sz w:val="32"/>
          <w:szCs w:val="24"/>
        </w:rPr>
        <w:t>系统治理理念，以</w:t>
      </w:r>
      <w:r>
        <w:rPr>
          <w:rFonts w:hint="eastAsia" w:ascii="Times New Roman" w:hAnsi="Times New Roman" w:eastAsia="仿宋_GB2312"/>
          <w:color w:val="auto"/>
          <w:sz w:val="32"/>
          <w:szCs w:val="24"/>
        </w:rPr>
        <w:t>格尼河</w:t>
      </w:r>
      <w:r>
        <w:rPr>
          <w:rFonts w:ascii="Times New Roman" w:hAnsi="Times New Roman" w:eastAsia="仿宋_GB2312"/>
          <w:sz w:val="32"/>
          <w:szCs w:val="24"/>
        </w:rPr>
        <w:t>、</w:t>
      </w:r>
      <w:r>
        <w:rPr>
          <w:rFonts w:hint="eastAsia" w:ascii="Times New Roman" w:hAnsi="Times New Roman" w:eastAsia="仿宋_GB2312"/>
          <w:sz w:val="32"/>
          <w:szCs w:val="24"/>
        </w:rPr>
        <w:t>阿伦河</w:t>
      </w:r>
      <w:r>
        <w:rPr>
          <w:rFonts w:ascii="Times New Roman" w:hAnsi="Times New Roman" w:eastAsia="仿宋_GB2312"/>
          <w:sz w:val="32"/>
          <w:szCs w:val="24"/>
        </w:rPr>
        <w:t>、</w:t>
      </w:r>
      <w:r>
        <w:rPr>
          <w:rFonts w:hint="eastAsia" w:ascii="Times New Roman" w:hAnsi="Times New Roman" w:eastAsia="仿宋_GB2312"/>
          <w:sz w:val="32"/>
          <w:szCs w:val="24"/>
        </w:rPr>
        <w:t>音河、黄蒿沟</w:t>
      </w:r>
      <w:r>
        <w:rPr>
          <w:rFonts w:ascii="Times New Roman" w:hAnsi="Times New Roman" w:eastAsia="仿宋_GB2312"/>
          <w:sz w:val="32"/>
          <w:szCs w:val="24"/>
        </w:rPr>
        <w:t>干流为主干，以</w:t>
      </w:r>
      <w:r>
        <w:rPr>
          <w:rFonts w:hint="eastAsia" w:ascii="Times New Roman" w:hAnsi="Times New Roman" w:eastAsia="仿宋_GB2312"/>
          <w:sz w:val="32"/>
          <w:szCs w:val="24"/>
        </w:rPr>
        <w:t>主要中小河流</w:t>
      </w:r>
      <w:r>
        <w:rPr>
          <w:rFonts w:ascii="Times New Roman" w:hAnsi="Times New Roman" w:eastAsia="仿宋_GB2312"/>
          <w:sz w:val="32"/>
          <w:szCs w:val="24"/>
        </w:rPr>
        <w:t>为次支，以重要水库、湿地等为节点，以系统治理为手段，加强涉水空间管控和保护，构筑绿色生态屏障，保障河流生态流量，系统治理水生态环境，形成全</w:t>
      </w:r>
      <w:r>
        <w:rPr>
          <w:rFonts w:hint="eastAsia" w:ascii="Times New Roman" w:hAnsi="Times New Roman" w:eastAsia="仿宋_GB2312"/>
          <w:sz w:val="32"/>
          <w:szCs w:val="24"/>
        </w:rPr>
        <w:t>旗</w:t>
      </w:r>
      <w:r>
        <w:rPr>
          <w:rFonts w:ascii="Times New Roman" w:hAnsi="Times New Roman" w:eastAsia="仿宋_GB2312"/>
          <w:sz w:val="32"/>
          <w:szCs w:val="24"/>
        </w:rPr>
        <w:t>绿色生态水网，全面实现健康水生态和宜居水环境。</w:t>
      </w:r>
    </w:p>
    <w:p w14:paraId="7C184A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79" w:firstLineChars="200"/>
        <w:jc w:val="both"/>
        <w:rPr>
          <w:rFonts w:hint="eastAsia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</w:pPr>
      <w:r>
        <w:rPr>
          <w:rFonts w:hint="eastAsia" w:cs="仿宋_GB2312"/>
          <w:b/>
          <w:bCs/>
          <w:color w:val="auto"/>
          <w:spacing w:val="9"/>
          <w:sz w:val="32"/>
          <w:szCs w:val="32"/>
          <w:lang w:val="en-US" w:eastAsia="zh-CN"/>
        </w:rPr>
        <w:t>7.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构建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  <w:lang w:val="zh-CN"/>
        </w:rPr>
        <w:t>数字孪生水网</w:t>
      </w:r>
      <w:r>
        <w:rPr>
          <w:rFonts w:hint="eastAsia" w:cs="仿宋_GB2312"/>
          <w:b/>
          <w:bCs/>
          <w:color w:val="auto"/>
          <w:spacing w:val="9"/>
          <w:sz w:val="32"/>
          <w:szCs w:val="32"/>
          <w:lang w:val="en-US" w:eastAsia="zh-CN"/>
        </w:rPr>
        <w:t>。</w:t>
      </w:r>
      <w:r>
        <w:rPr>
          <w:rFonts w:ascii="Times New Roman" w:hAnsi="Times New Roman" w:eastAsia="仿宋_GB2312" w:cs="仿宋"/>
          <w:color w:val="auto"/>
          <w:sz w:val="32"/>
          <w:szCs w:val="24"/>
        </w:rPr>
        <w:t>坚持需求牵引、应用至上的总要求，围绕智慧水利建设一条主线</w:t>
      </w:r>
      <w:r>
        <w:rPr>
          <w:rFonts w:hint="eastAsia" w:ascii="Times New Roman" w:hAnsi="Times New Roman" w:eastAsia="仿宋_GB2312" w:cs="仿宋"/>
          <w:color w:val="auto"/>
          <w:sz w:val="32"/>
          <w:szCs w:val="24"/>
        </w:rPr>
        <w:t>，</w:t>
      </w:r>
      <w:r>
        <w:rPr>
          <w:rFonts w:ascii="Times New Roman" w:hAnsi="Times New Roman" w:eastAsia="仿宋_GB2312" w:cs="仿宋"/>
          <w:color w:val="auto"/>
          <w:sz w:val="32"/>
          <w:szCs w:val="24"/>
        </w:rPr>
        <w:t>推进</w:t>
      </w:r>
      <w:r>
        <w:rPr>
          <w:rFonts w:hint="eastAsia" w:ascii="Times New Roman" w:hAnsi="Times New Roman" w:eastAsia="仿宋_GB2312" w:cs="仿宋"/>
          <w:color w:val="auto"/>
          <w:sz w:val="32"/>
          <w:szCs w:val="24"/>
        </w:rPr>
        <w:t>阿荣旗</w:t>
      </w:r>
      <w:r>
        <w:rPr>
          <w:rFonts w:ascii="Times New Roman" w:hAnsi="Times New Roman" w:eastAsia="仿宋_GB2312" w:cs="仿宋"/>
          <w:color w:val="auto"/>
          <w:sz w:val="32"/>
          <w:szCs w:val="24"/>
        </w:rPr>
        <w:t>水利数字化、网络化、智能化建设，</w:t>
      </w:r>
      <w:r>
        <w:rPr>
          <w:rFonts w:hint="eastAsia" w:ascii="Times New Roman" w:hAnsi="Times New Roman" w:eastAsia="仿宋_GB2312" w:cs="仿宋"/>
          <w:color w:val="auto"/>
          <w:sz w:val="32"/>
          <w:szCs w:val="24"/>
        </w:rPr>
        <w:t>以晓奇子水库智慧水利建设为支点和基础，推动智慧水利和数字孪生全面发展</w:t>
      </w:r>
      <w:r>
        <w:rPr>
          <w:rFonts w:hint="eastAsia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  <w:t>。</w:t>
      </w:r>
    </w:p>
    <w:p w14:paraId="1EEA7FE6">
      <w:pPr>
        <w:pStyle w:val="3"/>
        <w:pageBreakBefore w:val="0"/>
        <w:widowControl w:val="0"/>
        <w:kinsoku/>
        <w:wordWrap/>
        <w:overflowPunct/>
        <w:topLinePunct w:val="0"/>
        <w:bidi w:val="0"/>
        <w:spacing w:line="600" w:lineRule="atLeast"/>
        <w:jc w:val="left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0"/>
          <w:sz w:val="32"/>
          <w:szCs w:val="32"/>
          <w:lang w:val="en-US" w:eastAsia="zh-CN"/>
        </w:rPr>
        <w:t>8.</w:t>
      </w:r>
      <w:r>
        <w:rPr>
          <w:rStyle w:val="16"/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推动水网高质量发展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0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val="en-US" w:eastAsia="zh-CN"/>
        </w:rPr>
        <w:t>从</w:t>
      </w:r>
      <w:r>
        <w:rPr>
          <w:rFonts w:hint="eastAsia" w:ascii="仿宋_GB2312" w:hAnsi="仿宋_GB2312" w:eastAsia="仿宋_GB2312" w:cs="仿宋_GB2312"/>
          <w:color w:val="auto"/>
        </w:rPr>
        <w:t>推进安全发展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</w:rPr>
        <w:t>推动绿色发展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</w:rPr>
        <w:t>统筹融合发展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color w:val="auto"/>
        </w:rPr>
        <w:t>完善体制机制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四个方面推动水网高质量发展。</w:t>
      </w:r>
    </w:p>
    <w:p w14:paraId="0AAEFC76">
      <w:pPr>
        <w:pStyle w:val="3"/>
        <w:pageBreakBefore w:val="0"/>
        <w:widowControl w:val="0"/>
        <w:kinsoku/>
        <w:wordWrap/>
        <w:overflowPunct/>
        <w:topLinePunct w:val="0"/>
        <w:bidi w:val="0"/>
        <w:spacing w:line="600" w:lineRule="atLeast"/>
        <w:jc w:val="left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0"/>
          <w:sz w:val="32"/>
          <w:szCs w:val="32"/>
          <w:lang w:val="en-US" w:eastAsia="zh-CN"/>
        </w:rPr>
        <w:t>9.</w:t>
      </w:r>
      <w:r>
        <w:rPr>
          <w:rStyle w:val="16"/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重点项目与实施安排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仿宋_GB2312"/>
          <w:sz w:val="32"/>
        </w:rPr>
        <w:t>依托嫩江主要支流阿伦河、格尼河、音河及黄蒿沟、萨里沟、索勒奇河、羊鼻子沟等中小河流和哈尼嘎、晓奇子等重要工程，基于全旗整体和各流域水资源空间均衡配置，围绕构建防洪排涝网、城乡供水网、灌溉排水网、河湖生态保护网、数字孪生水网及着力打通水网建设“最后一公里”等任务要求，系统谋划阿荣旗水网重点项目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。</w:t>
      </w:r>
    </w:p>
    <w:p w14:paraId="34EF1B58">
      <w:pPr>
        <w:pStyle w:val="4"/>
        <w:pageBreakBefore w:val="0"/>
        <w:widowControl w:val="0"/>
        <w:kinsoku/>
        <w:wordWrap/>
        <w:overflowPunct/>
        <w:topLinePunct w:val="0"/>
        <w:bidi w:val="0"/>
        <w:spacing w:line="600" w:lineRule="atLeast"/>
        <w:rPr>
          <w:rFonts w:hint="eastAsia"/>
          <w:color w:val="auto"/>
        </w:rPr>
      </w:pPr>
      <w:r>
        <w:rPr>
          <w:rStyle w:val="16"/>
          <w:rFonts w:hint="eastAsia" w:ascii="Times New Roman" w:hAnsi="Times New Roman" w:cs="Times New Roman"/>
          <w:color w:val="auto"/>
          <w:sz w:val="32"/>
          <w:szCs w:val="32"/>
          <w:u w:val="none"/>
          <w:lang w:val="en-US" w:eastAsia="zh-CN"/>
        </w:rPr>
        <w:t>10.</w:t>
      </w:r>
      <w:r>
        <w:rPr>
          <w:rStyle w:val="16"/>
          <w:rFonts w:ascii="Times New Roman" w:hAnsi="Times New Roman" w:cs="Times New Roman"/>
          <w:color w:val="auto"/>
          <w:sz w:val="32"/>
          <w:szCs w:val="32"/>
          <w:u w:val="none"/>
        </w:rPr>
        <w:t>环境影响评价</w:t>
      </w:r>
      <w:r>
        <w:rPr>
          <w:rStyle w:val="16"/>
          <w:rFonts w:hint="eastAsia" w:ascii="Times New Roman" w:hAnsi="Times New Roman" w:cs="Times New Roman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/>
          <w:color w:val="auto"/>
        </w:rPr>
        <w:t>严守生态保护红线、资源利用上限与环境质量底线。</w:t>
      </w:r>
    </w:p>
    <w:p w14:paraId="5BF02F16">
      <w:pPr>
        <w:pStyle w:val="3"/>
        <w:pageBreakBefore w:val="0"/>
        <w:widowControl w:val="0"/>
        <w:kinsoku/>
        <w:wordWrap/>
        <w:overflowPunct/>
        <w:topLinePunct w:val="0"/>
        <w:bidi w:val="0"/>
        <w:spacing w:line="600" w:lineRule="atLeast"/>
        <w:jc w:val="left"/>
        <w:rPr>
          <w:rFonts w:hint="default" w:eastAsia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11.</w:t>
      </w:r>
      <w:r>
        <w:rPr>
          <w:rStyle w:val="16"/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zh-CN"/>
        </w:rPr>
        <w:t>保障措施。</w:t>
      </w:r>
      <w:r>
        <w:rPr>
          <w:rStyle w:val="16"/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从</w:t>
      </w:r>
      <w:r>
        <w:rPr>
          <w:rFonts w:hint="eastAsia" w:ascii="仿宋_GB2312" w:hAnsi="仿宋_GB2312" w:eastAsia="仿宋_GB2312" w:cs="仿宋_GB2312"/>
        </w:rPr>
        <w:t>加强组织领导</w:t>
      </w:r>
      <w:r>
        <w:rPr>
          <w:rFonts w:hint="eastAsia" w:ascii="仿宋_GB2312" w:hAnsi="仿宋_GB2312" w:eastAsia="仿宋_GB2312" w:cs="仿宋_GB231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</w:rPr>
        <w:t>深化前期工作</w:t>
      </w:r>
      <w:r>
        <w:rPr>
          <w:rFonts w:hint="eastAsia" w:ascii="仿宋_GB2312" w:hAnsi="仿宋_GB2312" w:eastAsia="仿宋_GB2312" w:cs="仿宋_GB231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</w:rPr>
        <w:t>加大资金投入</w:t>
      </w:r>
      <w:r>
        <w:rPr>
          <w:rFonts w:hint="eastAsia" w:ascii="仿宋_GB2312" w:hAnsi="仿宋_GB2312" w:eastAsia="仿宋_GB2312" w:cs="仿宋_GB231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</w:rPr>
        <w:t>强化科技支撑</w:t>
      </w:r>
      <w:r>
        <w:rPr>
          <w:rFonts w:hint="eastAsia" w:ascii="仿宋_GB2312" w:hAnsi="仿宋_GB2312" w:eastAsia="仿宋_GB2312" w:cs="仿宋_GB2312"/>
          <w:lang w:val="en-US" w:eastAsia="zh-CN"/>
        </w:rPr>
        <w:t>四个方面保障规划实施。</w:t>
      </w:r>
    </w:p>
    <w:p w14:paraId="3658C1D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eastAsia" w:ascii="黑体" w:hAnsi="黑体" w:eastAsia="黑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shd w:val="clear" w:color="auto" w:fill="FFFFFF"/>
          <w:lang w:val="en-US" w:eastAsia="zh-CN"/>
        </w:rPr>
        <w:t>三、落实经费保障</w:t>
      </w:r>
    </w:p>
    <w:p w14:paraId="4BFAC4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hint="default" w:ascii="黑体" w:hAnsi="黑体" w:eastAsia="黑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多渠道筹集工程建设资金，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积极申请中央资金和自治区水利发展资金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，用于工程建设和改造。</w:t>
      </w:r>
    </w:p>
    <w:p w14:paraId="5C73FC7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jc w:val="both"/>
        <w:rPr>
          <w:rFonts w:ascii="黑体" w:hAnsi="黑体" w:eastAsia="黑体"/>
          <w:color w:val="auto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auto"/>
          <w:sz w:val="32"/>
          <w:szCs w:val="32"/>
          <w:shd w:val="clear" w:color="auto" w:fill="FFFFFF"/>
          <w:lang w:val="en-US" w:eastAsia="zh-CN"/>
        </w:rPr>
        <w:t>四</w:t>
      </w:r>
      <w:r>
        <w:rPr>
          <w:rFonts w:hint="eastAsia" w:ascii="黑体" w:hAnsi="黑体" w:eastAsia="黑体"/>
          <w:color w:val="auto"/>
          <w:sz w:val="32"/>
          <w:szCs w:val="32"/>
          <w:shd w:val="clear" w:color="auto" w:fill="FFFFFF"/>
        </w:rPr>
        <w:t>、有关</w:t>
      </w:r>
      <w:r>
        <w:rPr>
          <w:rFonts w:hint="eastAsia" w:ascii="黑体" w:hAnsi="黑体" w:eastAsia="黑体"/>
          <w:color w:val="auto"/>
          <w:sz w:val="32"/>
          <w:szCs w:val="32"/>
          <w:shd w:val="clear" w:color="auto" w:fill="FFFFFF"/>
          <w:lang w:val="en-US" w:eastAsia="zh-CN"/>
        </w:rPr>
        <w:t>事项</w:t>
      </w:r>
      <w:r>
        <w:rPr>
          <w:rFonts w:hint="eastAsia" w:ascii="黑体" w:hAnsi="黑体" w:eastAsia="黑体"/>
          <w:color w:val="auto"/>
          <w:sz w:val="32"/>
          <w:szCs w:val="32"/>
          <w:shd w:val="clear" w:color="auto" w:fill="FFFFFF"/>
        </w:rPr>
        <w:t>说明</w:t>
      </w:r>
    </w:p>
    <w:p w14:paraId="5E21DAD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atLeast"/>
        <w:ind w:firstLine="640" w:firstLineChars="20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</w:rPr>
        <w:t>按照</w:t>
      </w:r>
      <w:r>
        <w:rPr>
          <w:rFonts w:hint="eastAsia"/>
          <w:color w:val="auto"/>
          <w:lang w:val="en-US" w:eastAsia="zh-CN"/>
        </w:rPr>
        <w:t>自治区水利厅和</w:t>
      </w:r>
      <w:r>
        <w:rPr>
          <w:rFonts w:hint="eastAsia"/>
          <w:color w:val="auto"/>
        </w:rPr>
        <w:t>呼伦贝尔市</w:t>
      </w:r>
      <w:r>
        <w:rPr>
          <w:rFonts w:hint="eastAsia"/>
          <w:color w:val="auto"/>
          <w:lang w:val="en-US" w:eastAsia="zh-CN"/>
        </w:rPr>
        <w:t>水利局</w:t>
      </w:r>
      <w:r>
        <w:rPr>
          <w:rFonts w:hint="eastAsia"/>
          <w:color w:val="auto"/>
        </w:rPr>
        <w:t>相关</w:t>
      </w:r>
      <w:r>
        <w:rPr>
          <w:rFonts w:hint="eastAsia"/>
          <w:color w:val="auto"/>
          <w:lang w:val="en-US" w:eastAsia="zh-CN"/>
        </w:rPr>
        <w:t>工作</w:t>
      </w:r>
      <w:r>
        <w:rPr>
          <w:rFonts w:hint="eastAsia"/>
          <w:color w:val="auto"/>
        </w:rPr>
        <w:t>要求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  <w:lang w:val="en-US" w:eastAsia="zh-CN"/>
        </w:rPr>
        <w:t>该《规划》</w:t>
      </w:r>
      <w:r>
        <w:rPr>
          <w:rFonts w:hint="eastAsia"/>
          <w:color w:val="auto"/>
        </w:rPr>
        <w:t>提交旗政府</w:t>
      </w:r>
      <w:r>
        <w:rPr>
          <w:rFonts w:hint="eastAsia"/>
          <w:color w:val="auto"/>
          <w:lang w:val="en-US" w:eastAsia="zh-CN"/>
        </w:rPr>
        <w:t>党组</w:t>
      </w:r>
      <w:r>
        <w:rPr>
          <w:rFonts w:hint="eastAsia"/>
          <w:color w:val="auto"/>
        </w:rPr>
        <w:t>会议</w:t>
      </w:r>
      <w:r>
        <w:rPr>
          <w:rFonts w:hint="eastAsia"/>
          <w:color w:val="auto"/>
          <w:lang w:val="en-US" w:eastAsia="zh-CN"/>
        </w:rPr>
        <w:t>审议，审议</w:t>
      </w:r>
      <w:r>
        <w:rPr>
          <w:rFonts w:hint="eastAsia"/>
          <w:color w:val="auto"/>
        </w:rPr>
        <w:t>通过后</w:t>
      </w:r>
      <w:r>
        <w:rPr>
          <w:rFonts w:hint="eastAsia"/>
          <w:color w:val="auto"/>
          <w:lang w:val="en-US" w:eastAsia="zh-CN"/>
        </w:rPr>
        <w:t>由</w:t>
      </w:r>
      <w:r>
        <w:rPr>
          <w:rFonts w:hint="eastAsia"/>
          <w:color w:val="auto"/>
          <w:u w:val="none"/>
        </w:rPr>
        <w:t>旗</w:t>
      </w:r>
      <w:r>
        <w:rPr>
          <w:rFonts w:hint="eastAsia"/>
          <w:color w:val="auto"/>
          <w:u w:val="none"/>
          <w:lang w:val="en-US" w:eastAsia="zh-CN"/>
        </w:rPr>
        <w:t>人民</w:t>
      </w:r>
      <w:r>
        <w:rPr>
          <w:rFonts w:hint="eastAsia"/>
          <w:color w:val="auto"/>
          <w:u w:val="none"/>
        </w:rPr>
        <w:t>政府</w:t>
      </w:r>
      <w:r>
        <w:rPr>
          <w:rFonts w:hint="eastAsia"/>
          <w:color w:val="auto"/>
          <w:u w:val="none"/>
          <w:lang w:val="en-US" w:eastAsia="zh-CN"/>
        </w:rPr>
        <w:t>给予批复，由旗水利局印发并组织实施</w:t>
      </w:r>
      <w:r>
        <w:rPr>
          <w:rFonts w:hint="eastAsia" w:ascii="仿宋_GB2312" w:eastAsia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sectPr>
      <w:footerReference r:id="rId5" w:type="default"/>
      <w:pgSz w:w="11906" w:h="16838"/>
      <w:pgMar w:top="2098" w:right="1531" w:bottom="1984" w:left="1531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B08DF8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1DFC42">
                          <w:pPr>
                            <w:pStyle w:val="10"/>
                            <w:ind w:left="0" w:leftChars="0" w:firstLine="0" w:firstLineChars="0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1DFC42">
                    <w:pPr>
                      <w:pStyle w:val="10"/>
                      <w:ind w:left="0" w:leftChars="0" w:firstLine="0" w:firstLineChars="0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B80E27"/>
    <w:multiLevelType w:val="singleLevel"/>
    <w:tmpl w:val="82B80E27"/>
    <w:lvl w:ilvl="0" w:tentative="0">
      <w:start w:val="1"/>
      <w:numFmt w:val="decimal"/>
      <w:pStyle w:val="19"/>
      <w:suff w:val="nothing"/>
      <w:lvlText w:val="%1．"/>
      <w:lvlJc w:val="left"/>
      <w:pPr>
        <w:ind w:left="20" w:firstLine="400"/>
      </w:pPr>
      <w:rPr>
        <w:rFonts w:hint="default"/>
      </w:rPr>
    </w:lvl>
  </w:abstractNum>
  <w:abstractNum w:abstractNumId="1">
    <w:nsid w:val="D2BA5DF9"/>
    <w:multiLevelType w:val="singleLevel"/>
    <w:tmpl w:val="D2BA5DF9"/>
    <w:lvl w:ilvl="0" w:tentative="0">
      <w:start w:val="1"/>
      <w:numFmt w:val="chineseCounting"/>
      <w:pStyle w:val="24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iMzdhZTZmMmE5MzM5ZDBjNTRjOWQ5MmMyMjI2YTQifQ=="/>
  </w:docVars>
  <w:rsids>
    <w:rsidRoot w:val="7A453C7D"/>
    <w:rsid w:val="00AF2CEC"/>
    <w:rsid w:val="010A45A6"/>
    <w:rsid w:val="01632B2F"/>
    <w:rsid w:val="039B3DC0"/>
    <w:rsid w:val="07373DFF"/>
    <w:rsid w:val="07434F16"/>
    <w:rsid w:val="083A6ABB"/>
    <w:rsid w:val="08B65CE4"/>
    <w:rsid w:val="09136C1A"/>
    <w:rsid w:val="09235D02"/>
    <w:rsid w:val="096C6457"/>
    <w:rsid w:val="098A5E26"/>
    <w:rsid w:val="0A632019"/>
    <w:rsid w:val="0B2F1680"/>
    <w:rsid w:val="10D946FC"/>
    <w:rsid w:val="110F554D"/>
    <w:rsid w:val="117A7CBC"/>
    <w:rsid w:val="13764B02"/>
    <w:rsid w:val="14740441"/>
    <w:rsid w:val="147C1C0F"/>
    <w:rsid w:val="152D6842"/>
    <w:rsid w:val="154F308C"/>
    <w:rsid w:val="18034E6E"/>
    <w:rsid w:val="18276946"/>
    <w:rsid w:val="183F1599"/>
    <w:rsid w:val="1B7F5ACE"/>
    <w:rsid w:val="1C234F0C"/>
    <w:rsid w:val="1F124585"/>
    <w:rsid w:val="256726E9"/>
    <w:rsid w:val="264E2FBE"/>
    <w:rsid w:val="26D0563E"/>
    <w:rsid w:val="26FC463F"/>
    <w:rsid w:val="28741222"/>
    <w:rsid w:val="29FF5E2B"/>
    <w:rsid w:val="2ACE0D23"/>
    <w:rsid w:val="2C063CF2"/>
    <w:rsid w:val="2C071BF3"/>
    <w:rsid w:val="2ED02480"/>
    <w:rsid w:val="2FD27CA9"/>
    <w:rsid w:val="314825E1"/>
    <w:rsid w:val="3392704D"/>
    <w:rsid w:val="34833930"/>
    <w:rsid w:val="34CB4A62"/>
    <w:rsid w:val="353C0C5A"/>
    <w:rsid w:val="35EF18FC"/>
    <w:rsid w:val="38ED294F"/>
    <w:rsid w:val="39485005"/>
    <w:rsid w:val="3956637A"/>
    <w:rsid w:val="3CA164D1"/>
    <w:rsid w:val="3CF16F0F"/>
    <w:rsid w:val="3EB40C14"/>
    <w:rsid w:val="41207203"/>
    <w:rsid w:val="41C34F91"/>
    <w:rsid w:val="424240D3"/>
    <w:rsid w:val="434F4D25"/>
    <w:rsid w:val="45311331"/>
    <w:rsid w:val="46744693"/>
    <w:rsid w:val="47DD3A5A"/>
    <w:rsid w:val="49907D81"/>
    <w:rsid w:val="4BCC40A2"/>
    <w:rsid w:val="4F0022F6"/>
    <w:rsid w:val="4FC36A92"/>
    <w:rsid w:val="50B65B84"/>
    <w:rsid w:val="50DF5EDE"/>
    <w:rsid w:val="52B01601"/>
    <w:rsid w:val="55411867"/>
    <w:rsid w:val="57BB1253"/>
    <w:rsid w:val="588D274F"/>
    <w:rsid w:val="59401C6C"/>
    <w:rsid w:val="59403E57"/>
    <w:rsid w:val="59426891"/>
    <w:rsid w:val="5A1F4E71"/>
    <w:rsid w:val="5A7B71FE"/>
    <w:rsid w:val="5AB04CD7"/>
    <w:rsid w:val="5B98317F"/>
    <w:rsid w:val="5BD91A36"/>
    <w:rsid w:val="5D947B7A"/>
    <w:rsid w:val="5FF90533"/>
    <w:rsid w:val="61222ED7"/>
    <w:rsid w:val="63CB3C77"/>
    <w:rsid w:val="64B97254"/>
    <w:rsid w:val="659B694C"/>
    <w:rsid w:val="6A941E18"/>
    <w:rsid w:val="6B050D13"/>
    <w:rsid w:val="6B2B038D"/>
    <w:rsid w:val="6D9C504D"/>
    <w:rsid w:val="6DC72E28"/>
    <w:rsid w:val="700D5716"/>
    <w:rsid w:val="701640FD"/>
    <w:rsid w:val="717E365E"/>
    <w:rsid w:val="726C759C"/>
    <w:rsid w:val="73E771FA"/>
    <w:rsid w:val="74540551"/>
    <w:rsid w:val="755140DA"/>
    <w:rsid w:val="7575085E"/>
    <w:rsid w:val="769E3C56"/>
    <w:rsid w:val="769F58AD"/>
    <w:rsid w:val="76C4391B"/>
    <w:rsid w:val="775463D1"/>
    <w:rsid w:val="77E04721"/>
    <w:rsid w:val="78B90B23"/>
    <w:rsid w:val="79E50395"/>
    <w:rsid w:val="7A1D5A36"/>
    <w:rsid w:val="7A453C7D"/>
    <w:rsid w:val="7B37834E"/>
    <w:rsid w:val="7BAC7934"/>
    <w:rsid w:val="7EA93DF7"/>
    <w:rsid w:val="7FB614EA"/>
    <w:rsid w:val="7FDB6751"/>
    <w:rsid w:val="7FE87C5C"/>
    <w:rsid w:val="9CFF80B4"/>
    <w:rsid w:val="DFFF9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kinsoku/>
      <w:autoSpaceDE w:val="0"/>
      <w:autoSpaceDN w:val="0"/>
      <w:adjustRightInd w:val="0"/>
      <w:snapToGrid w:val="0"/>
      <w:spacing w:line="600" w:lineRule="exact"/>
      <w:ind w:firstLine="880" w:firstLineChars="200"/>
      <w:jc w:val="left"/>
      <w:textAlignment w:val="baseline"/>
    </w:pPr>
    <w:rPr>
      <w:rFonts w:ascii="仿宋_GB2312" w:hAnsi="仿宋_GB2312" w:eastAsia="仿宋_GB2312" w:cs="Arial"/>
      <w:snapToGrid w:val="0"/>
      <w:color w:val="000000"/>
      <w:kern w:val="0"/>
      <w:sz w:val="32"/>
      <w:szCs w:val="21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beforeLines="0" w:beforeAutospacing="0" w:afterLines="0" w:afterAutospacing="0" w:line="60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1"/>
    </w:pPr>
    <w:rPr>
      <w:rFonts w:ascii="Arial" w:hAnsi="Arial" w:eastAsia="黑体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2"/>
    </w:pPr>
    <w:rPr>
      <w:rFonts w:ascii="楷体_GB2312" w:hAnsi="楷体_GB2312" w:eastAsia="楷体_GB2312"/>
      <w:b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3"/>
    </w:pPr>
    <w:rPr>
      <w:rFonts w:ascii="仿宋_GB2312" w:hAnsi="仿宋_GB2312" w:eastAsia="仿宋_GB2312"/>
      <w:b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0"/>
    <w:pPr>
      <w:ind w:firstLine="420" w:firstLineChars="200"/>
    </w:pPr>
  </w:style>
  <w:style w:type="paragraph" w:styleId="7">
    <w:name w:val="table of authorities"/>
    <w:basedOn w:val="1"/>
    <w:next w:val="1"/>
    <w:qFormat/>
    <w:uiPriority w:val="0"/>
    <w:pPr>
      <w:ind w:left="420" w:leftChars="200"/>
    </w:pPr>
  </w:style>
  <w:style w:type="paragraph" w:styleId="8">
    <w:name w:val="Body Text"/>
    <w:basedOn w:val="1"/>
    <w:next w:val="9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9">
    <w:name w:val="Body Text Indent 2"/>
    <w:basedOn w:val="1"/>
    <w:qFormat/>
    <w:uiPriority w:val="99"/>
    <w:pPr>
      <w:ind w:firstLine="358" w:firstLineChars="128"/>
    </w:pPr>
    <w:rPr>
      <w:rFonts w:eastAsia="华文隶书"/>
      <w:sz w:val="2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Hyperlink"/>
    <w:qFormat/>
    <w:uiPriority w:val="99"/>
    <w:rPr>
      <w:color w:val="0000FF"/>
      <w:u w:val="single"/>
    </w:rPr>
  </w:style>
  <w:style w:type="character" w:customStyle="1" w:styleId="17">
    <w:name w:val="标题 1 Char"/>
    <w:link w:val="2"/>
    <w:qFormat/>
    <w:uiPriority w:val="0"/>
    <w:rPr>
      <w:rFonts w:ascii="方正小标宋简体" w:hAnsi="方正小标宋简体" w:eastAsia="方正小标宋简体"/>
      <w:kern w:val="44"/>
      <w:sz w:val="44"/>
    </w:rPr>
  </w:style>
  <w:style w:type="paragraph" w:customStyle="1" w:styleId="18">
    <w:name w:val="页码0"/>
    <w:basedOn w:val="1"/>
    <w:qFormat/>
    <w:uiPriority w:val="0"/>
    <w:pPr>
      <w:ind w:firstLine="0" w:firstLineChars="0"/>
      <w:jc w:val="center"/>
    </w:pPr>
    <w:rPr>
      <w:rFonts w:ascii="宋体" w:hAnsi="宋体" w:eastAsia="宋体"/>
      <w:sz w:val="28"/>
      <w:szCs w:val="28"/>
    </w:rPr>
  </w:style>
  <w:style w:type="paragraph" w:customStyle="1" w:styleId="19">
    <w:name w:val="单字"/>
    <w:basedOn w:val="1"/>
    <w:link w:val="20"/>
    <w:qFormat/>
    <w:uiPriority w:val="0"/>
    <w:pPr>
      <w:numPr>
        <w:ilvl w:val="0"/>
        <w:numId w:val="1"/>
      </w:numPr>
      <w:spacing w:line="600" w:lineRule="exact"/>
      <w:ind w:firstLine="640" w:firstLineChars="200"/>
      <w:jc w:val="both"/>
    </w:pPr>
    <w:rPr>
      <w:rFonts w:hint="eastAsia" w:cs="仿宋_GB2312"/>
      <w:spacing w:val="-6"/>
      <w:szCs w:val="32"/>
      <w:lang w:eastAsia="en-US"/>
    </w:rPr>
  </w:style>
  <w:style w:type="character" w:customStyle="1" w:styleId="20">
    <w:name w:val="单字 Char"/>
    <w:link w:val="19"/>
    <w:qFormat/>
    <w:uiPriority w:val="0"/>
    <w:rPr>
      <w:rFonts w:hint="eastAsia" w:ascii="仿宋_GB2312" w:hAnsi="仿宋_GB2312" w:eastAsia="仿宋_GB2312" w:cs="仿宋_GB2312"/>
      <w:spacing w:val="-6"/>
      <w:sz w:val="32"/>
      <w:szCs w:val="32"/>
      <w:lang w:eastAsia="en-US"/>
    </w:rPr>
  </w:style>
  <w:style w:type="paragraph" w:customStyle="1" w:styleId="21">
    <w:name w:val="汇报人"/>
    <w:basedOn w:val="1"/>
    <w:qFormat/>
    <w:uiPriority w:val="0"/>
    <w:pPr>
      <w:ind w:firstLine="0" w:firstLineChars="0"/>
      <w:jc w:val="center"/>
    </w:pPr>
    <w:rPr>
      <w:rFonts w:hint="eastAsia" w:ascii="楷体_GB2312" w:hAnsi="楷体_GB2312" w:eastAsia="楷体_GB2312"/>
      <w:b/>
      <w:lang w:eastAsia="zh-CN"/>
    </w:rPr>
  </w:style>
  <w:style w:type="paragraph" w:customStyle="1" w:styleId="22">
    <w:name w:val="汇报提纲"/>
    <w:basedOn w:val="1"/>
    <w:next w:val="1"/>
    <w:qFormat/>
    <w:uiPriority w:val="0"/>
    <w:pPr>
      <w:keepNext/>
      <w:keepLines/>
      <w:spacing w:beforeLines="0" w:afterLines="0"/>
      <w:ind w:firstLine="0" w:firstLineChars="0"/>
      <w:jc w:val="center"/>
      <w:outlineLvl w:val="0"/>
    </w:pPr>
    <w:rPr>
      <w:rFonts w:hint="eastAsia" w:ascii="方正小标宋简体" w:hAnsi="方正小标宋简体" w:eastAsia="方正小标宋简体"/>
      <w:kern w:val="44"/>
      <w:sz w:val="44"/>
      <w:lang w:eastAsia="zh-CN"/>
    </w:rPr>
  </w:style>
  <w:style w:type="paragraph" w:customStyle="1" w:styleId="23">
    <w:name w:val="汇报人 日期"/>
    <w:basedOn w:val="1"/>
    <w:qFormat/>
    <w:uiPriority w:val="0"/>
    <w:pPr>
      <w:ind w:firstLine="0" w:firstLineChars="0"/>
      <w:jc w:val="center"/>
    </w:pPr>
    <w:rPr>
      <w:rFonts w:hint="eastAsia" w:ascii="楷体_GB2312" w:hAnsi="楷体_GB2312" w:eastAsia="楷体_GB2312"/>
      <w:b/>
      <w:lang w:eastAsia="zh-CN"/>
    </w:rPr>
  </w:style>
  <w:style w:type="paragraph" w:customStyle="1" w:styleId="24">
    <w:name w:val="一级标题"/>
    <w:basedOn w:val="1"/>
    <w:next w:val="1"/>
    <w:qFormat/>
    <w:uiPriority w:val="0"/>
    <w:pPr>
      <w:keepNext/>
      <w:keepLines/>
      <w:numPr>
        <w:ilvl w:val="0"/>
        <w:numId w:val="2"/>
      </w:numPr>
      <w:spacing w:beforeLines="0" w:afterLines="0"/>
      <w:outlineLvl w:val="1"/>
    </w:pPr>
    <w:rPr>
      <w:rFonts w:hint="eastAsia" w:ascii="Arial" w:hAnsi="Arial" w:eastAsia="黑体"/>
      <w:lang w:eastAsia="zh-CN"/>
    </w:rPr>
  </w:style>
  <w:style w:type="paragraph" w:customStyle="1" w:styleId="25">
    <w:name w:val="二级标题"/>
    <w:basedOn w:val="1"/>
    <w:next w:val="1"/>
    <w:qFormat/>
    <w:uiPriority w:val="0"/>
    <w:pPr>
      <w:keepNext/>
      <w:keepLines/>
      <w:spacing w:beforeLines="0" w:afterLines="0"/>
      <w:outlineLvl w:val="2"/>
    </w:pPr>
    <w:rPr>
      <w:rFonts w:hint="eastAsia" w:ascii="楷体_GB2312" w:hAnsi="楷体_GB2312" w:eastAsia="楷体_GB2312"/>
      <w:b/>
      <w:lang w:eastAsia="zh-CN"/>
    </w:rPr>
  </w:style>
  <w:style w:type="paragraph" w:customStyle="1" w:styleId="26">
    <w:name w:val="三级标题"/>
    <w:basedOn w:val="1"/>
    <w:next w:val="1"/>
    <w:qFormat/>
    <w:uiPriority w:val="0"/>
    <w:pPr>
      <w:keepNext/>
      <w:keepLines/>
      <w:spacing w:beforeLines="0" w:afterLines="0"/>
      <w:outlineLvl w:val="3"/>
    </w:pPr>
    <w:rPr>
      <w:rFonts w:hint="eastAsia"/>
      <w:b/>
      <w:lang w:eastAsia="zh-CN"/>
    </w:rPr>
  </w:style>
  <w:style w:type="paragraph" w:customStyle="1" w:styleId="27">
    <w:name w:val="正文内容"/>
    <w:basedOn w:val="1"/>
    <w:qFormat/>
    <w:uiPriority w:val="0"/>
    <w:rPr>
      <w:rFonts w:hint="eastAsia"/>
      <w:lang w:eastAsia="zh-CN"/>
    </w:rPr>
  </w:style>
  <w:style w:type="paragraph" w:customStyle="1" w:styleId="28">
    <w:name w:val="四级标题"/>
    <w:basedOn w:val="1"/>
    <w:qFormat/>
    <w:uiPriority w:val="0"/>
    <w:rPr>
      <w:rFonts w:hint="eastAsia"/>
      <w:b/>
      <w:lang w:eastAsia="zh-CN"/>
    </w:rPr>
  </w:style>
  <w:style w:type="paragraph" w:customStyle="1" w:styleId="29">
    <w:name w:val="页码样式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hint="eastAsia" w:ascii="宋体" w:hAnsi="宋体" w:eastAsia="宋体"/>
      <w:sz w:val="28"/>
      <w:szCs w:val="28"/>
    </w:rPr>
  </w:style>
  <w:style w:type="paragraph" w:customStyle="1" w:styleId="30">
    <w:name w:val="主标题"/>
    <w:basedOn w:val="1"/>
    <w:next w:val="1"/>
    <w:qFormat/>
    <w:uiPriority w:val="0"/>
    <w:pPr>
      <w:keepNext/>
      <w:keepLines/>
      <w:spacing w:beforeLines="0" w:afterLines="0"/>
      <w:ind w:firstLine="0" w:firstLineChars="0"/>
      <w:jc w:val="center"/>
      <w:outlineLvl w:val="0"/>
    </w:pPr>
    <w:rPr>
      <w:rFonts w:hint="eastAsia" w:ascii="方正小标宋简体" w:hAnsi="方正小标宋简体" w:eastAsia="方正小标宋简体"/>
      <w:kern w:val="44"/>
      <w:sz w:val="44"/>
      <w:lang w:eastAsia="zh-CN"/>
    </w:rPr>
  </w:style>
  <w:style w:type="paragraph" w:customStyle="1" w:styleId="31">
    <w:name w:val="主标题0"/>
    <w:basedOn w:val="1"/>
    <w:qFormat/>
    <w:uiPriority w:val="0"/>
    <w:pPr>
      <w:ind w:firstLine="0" w:firstLineChars="0"/>
      <w:jc w:val="center"/>
    </w:pPr>
    <w:rPr>
      <w:rFonts w:hint="eastAsia" w:ascii="方正小标宋简体" w:hAnsi="方正小标宋简体" w:eastAsia="方正小标宋简体"/>
      <w:sz w:val="44"/>
      <w:szCs w:val="44"/>
      <w:lang w:eastAsia="zh-CN"/>
    </w:rPr>
  </w:style>
  <w:style w:type="paragraph" w:customStyle="1" w:styleId="32">
    <w:name w:val="主送"/>
    <w:basedOn w:val="1"/>
    <w:qFormat/>
    <w:uiPriority w:val="0"/>
    <w:pPr>
      <w:ind w:firstLine="0" w:firstLineChars="0"/>
    </w:pPr>
    <w:rPr>
      <w:rFonts w:hint="eastAsia"/>
    </w:rPr>
  </w:style>
  <w:style w:type="paragraph" w:customStyle="1" w:styleId="33">
    <w:name w:val="落款"/>
    <w:basedOn w:val="1"/>
    <w:link w:val="34"/>
    <w:qFormat/>
    <w:uiPriority w:val="0"/>
    <w:pPr>
      <w:spacing w:before="200" w:beforeLines="200"/>
      <w:ind w:right="1280" w:rightChars="400" w:firstLine="0" w:firstLineChars="0"/>
      <w:jc w:val="right"/>
    </w:pPr>
    <w:rPr>
      <w:rFonts w:hint="eastAsia"/>
    </w:rPr>
  </w:style>
  <w:style w:type="character" w:customStyle="1" w:styleId="34">
    <w:name w:val="落款 Char"/>
    <w:link w:val="33"/>
    <w:qFormat/>
    <w:uiPriority w:val="0"/>
    <w:rPr>
      <w:rFonts w:hint="eastAsia" w:eastAsia="仿宋_GB2312"/>
    </w:rPr>
  </w:style>
  <w:style w:type="paragraph" w:customStyle="1" w:styleId="35">
    <w:name w:val="附件"/>
    <w:basedOn w:val="1"/>
    <w:qFormat/>
    <w:uiPriority w:val="0"/>
    <w:pPr>
      <w:snapToGrid w:val="0"/>
      <w:ind w:firstLine="0" w:firstLineChars="0"/>
    </w:pPr>
    <w:rPr>
      <w:rFonts w:hint="eastAsia" w:ascii="黑体" w:hAnsi="黑体" w:eastAsia="黑体" w:cs="黑体"/>
      <w:color w:val="000000" w:themeColor="text1"/>
      <w:szCs w:val="32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1864</Words>
  <Characters>1900</Characters>
  <Lines>0</Lines>
  <Paragraphs>0</Paragraphs>
  <TotalTime>0</TotalTime>
  <ScaleCrop>false</ScaleCrop>
  <LinksUpToDate>false</LinksUpToDate>
  <CharactersWithSpaces>1900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2024-04-10T18:27:00Z</dcterms:created>
  <dc:creator>WPS_605394884</dc:creator>
  <cp:lastModifiedBy>小笨猫•﹏•</cp:lastModifiedBy>
  <cp:lastPrinted>2026-04-16T09:03:00Z</cp:lastPrinted>
  <dcterms:modified xsi:type="dcterms:W3CDTF">2026-05-21T03:15:01Z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99FAD638C77C480C874D721D1FD87687_13</vt:lpwstr>
  </property>
  <property fmtid="{D5CDD505-2E9C-101B-9397-08002B2CF9AE}" pid="4" name="KSOTemplateDocerSaveRecord">
    <vt:lpwstr>eyJoZGlkIjoiYmVmNWQzZTQyZjcxNmZmYTIxYTI5YjE5YWY2YmY2MmUiLCJ1c2VySWQiOiI0MTcwMTc3MTEifQ==</vt:lpwstr>
  </property>
</Properties>
</file>