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D8B131"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阿荣旗河道采砂规划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（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2026-2030年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）</w:t>
      </w:r>
    </w:p>
    <w:p w14:paraId="0C17361F"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的起草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说明</w:t>
      </w:r>
    </w:p>
    <w:p w14:paraId="375B28E4">
      <w:pPr>
        <w:spacing w:line="600" w:lineRule="exact"/>
        <w:rPr>
          <w:rFonts w:hint="eastAsia" w:ascii="楷体_GB2312" w:hAnsi="楷体_GB2312" w:eastAsia="楷体_GB2312" w:cs="楷体_GB2312"/>
          <w:sz w:val="44"/>
          <w:szCs w:val="44"/>
        </w:rPr>
      </w:pPr>
    </w:p>
    <w:p w14:paraId="7DE47519">
      <w:pPr>
        <w:spacing w:line="600" w:lineRule="exact"/>
        <w:jc w:val="center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阿荣旗水利局</w:t>
      </w:r>
    </w:p>
    <w:p w14:paraId="5030637D">
      <w:pPr>
        <w:spacing w:line="600" w:lineRule="exact"/>
        <w:jc w:val="center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（202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6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年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4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月）</w:t>
      </w:r>
    </w:p>
    <w:p w14:paraId="31ADBD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一、起草背景及过程</w:t>
      </w:r>
    </w:p>
    <w:p w14:paraId="143DE3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为进一步加强河道采砂管理，规范河道采砂秩序，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强化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资源效益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科学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化，满足我旗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“十五五”规划期间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重点项目和城市基础设施建设发展的用砂需求。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依据《中华人民共和国水法》《中华人民共和国防洪法》、水利部《关于河道采砂管理工作的指导意见》《内蒙古自治区河湖保护和管理条例》等法律法规和文件要求，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u w:val="none" w:color="auto"/>
          <w:lang w:val="en-US" w:eastAsia="zh-CN"/>
        </w:rPr>
        <w:t>旗水利局委托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设计公司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编制了《阿荣旗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河道采砂规划（2026-2030）》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征求了各乡镇及相关部门的意见，并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通过了呼伦贝尔市水利局专家审查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。</w:t>
      </w:r>
    </w:p>
    <w:p w14:paraId="5481CF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二、主要内容</w:t>
      </w:r>
    </w:p>
    <w:p w14:paraId="5166B8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  <w:t>（一）规划主要内容。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本规划共包括9个方面内容，一是基本情况；二是采砂现状及形式；三是规划原则与规划任务；四是河道演变分析；五是砂石补给及可利用砂石总量分析；六是采砂分区规划；七是采砂影响分析；八是规划实施与管理；九是结论与建议。</w:t>
      </w:r>
    </w:p>
    <w:p w14:paraId="1522F1FC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 w:val="0"/>
          <w:bCs w:val="0"/>
          <w:kern w:val="2"/>
          <w:sz w:val="32"/>
          <w:szCs w:val="32"/>
          <w:lang w:val="en-US" w:eastAsia="zh-CN" w:bidi="ar-SA"/>
        </w:rPr>
        <w:t>（二）规划采砂主要河流。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根据《中华人民共和国河道管理条例》和《河湖管理监督检查办法（试行）》以及自治区、市水利部门采砂要求，流域面积500平方公里以下及界河、季节性断流的河流不设采砂区，按此要求符合条件的河流仅有阿伦河、格尼河两条河流。</w:t>
      </w:r>
    </w:p>
    <w:p w14:paraId="6FE14518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 w:val="0"/>
          <w:bCs w:val="0"/>
          <w:kern w:val="2"/>
          <w:sz w:val="32"/>
          <w:szCs w:val="32"/>
          <w:lang w:val="en-US" w:eastAsia="zh-CN" w:bidi="ar-SA"/>
        </w:rPr>
        <w:t>（三）采砂区划定。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本规划共划分为3个区，即禁采区、保留区和可采区。音河作为界河，本次规划将其全部划定为保留区。本次规划河道总长430.9km，共划定可采区7处，其中阿伦河5处，格尼河2处。</w:t>
      </w:r>
    </w:p>
    <w:p w14:paraId="64BE0461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 w:val="0"/>
          <w:bCs w:val="0"/>
          <w:kern w:val="2"/>
          <w:sz w:val="32"/>
          <w:szCs w:val="32"/>
          <w:lang w:val="en-US" w:eastAsia="zh-CN" w:bidi="ar-SA"/>
        </w:rPr>
        <w:t>（四）规划期。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本规划从2026年开始，截至2030年，共五年。</w:t>
      </w:r>
    </w:p>
    <w:p w14:paraId="5D26F3EC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 w:val="0"/>
          <w:bCs w:val="0"/>
          <w:kern w:val="2"/>
          <w:sz w:val="32"/>
          <w:szCs w:val="32"/>
          <w:lang w:val="en-US" w:eastAsia="zh-CN" w:bidi="ar-SA"/>
        </w:rPr>
        <w:t>（五）采砂量。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五年规划可采砂总量为80.95万m³，其中：阿伦河5个可采区，采砂量为71.7万m³；格尼河2个可采区，采砂量为9.25万m³。</w:t>
      </w:r>
    </w:p>
    <w:p w14:paraId="6633EA98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 w:val="0"/>
          <w:bCs w:val="0"/>
          <w:kern w:val="2"/>
          <w:sz w:val="32"/>
          <w:szCs w:val="32"/>
          <w:lang w:val="en-US" w:eastAsia="zh-CN" w:bidi="ar-SA"/>
        </w:rPr>
        <w:t>（六）可采区控制开采高程。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可采区控制高程为允许最低开采高程。根据河道演变分析、泥沙补给以及河道地质等情况，本次规划河道各采区的开采深度为 3.1—3.3m。</w:t>
      </w:r>
    </w:p>
    <w:p w14:paraId="0C478BF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 w:val="0"/>
          <w:bCs w:val="0"/>
          <w:kern w:val="2"/>
          <w:sz w:val="32"/>
          <w:szCs w:val="32"/>
          <w:lang w:val="en-US" w:eastAsia="zh-CN" w:bidi="ar-SA"/>
        </w:rPr>
        <w:t>（七）禁采期。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可采区的采砂在每年汛期停止，禁采期为每年7月1日至8月31日。</w:t>
      </w:r>
    </w:p>
    <w:p w14:paraId="4B6D98E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textAlignment w:val="auto"/>
        <w:rPr>
          <w:rFonts w:hint="eastAsia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kern w:val="2"/>
          <w:sz w:val="32"/>
          <w:szCs w:val="32"/>
          <w:lang w:val="en-US" w:eastAsia="zh-CN" w:bidi="ar-SA"/>
        </w:rPr>
        <w:t>（八）采砂作业方式。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本规划采砂作业方式主要为采砂船采砂。</w:t>
      </w:r>
    </w:p>
    <w:p w14:paraId="5DD587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outlineLvl w:val="9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三、对有关问题的说明</w:t>
      </w:r>
    </w:p>
    <w:p w14:paraId="47C8E8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提请事项会议通过后，为满足旗重点工程用砂需求，需尽快编制阿荣旗2026年度河道采砂实施方案，由旗政府进行审查并批复。采砂许可方式以拍卖方式办理，进一步整顿、规范市场，增加财政收入，推进采砂市场健康有序发展。</w:t>
      </w:r>
    </w:p>
    <w:p w14:paraId="144EF993">
      <w:bookmarkStart w:id="0" w:name="_GoBack"/>
      <w:bookmarkEnd w:id="0"/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3D765F"/>
    <w:rsid w:val="6A3D7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adjustRightInd/>
      <w:ind w:firstLine="420" w:firstLineChars="100"/>
    </w:pPr>
    <w:rPr>
      <w:sz w:val="21"/>
    </w:rPr>
  </w:style>
  <w:style w:type="paragraph" w:styleId="3">
    <w:name w:val="Body Text"/>
    <w:basedOn w:val="1"/>
    <w:qFormat/>
    <w:uiPriority w:val="0"/>
    <w:rPr>
      <w:rFonts w:ascii="Calibri" w:hAnsi="Calibri" w:eastAsia="宋体" w:cs="Times New Roman"/>
      <w:color w:val="auto"/>
      <w:szCs w:val="24"/>
      <w:u w:val="none" w:color="auto"/>
    </w:rPr>
  </w:style>
  <w:style w:type="paragraph" w:styleId="4">
    <w:name w:val="table of authorities"/>
    <w:basedOn w:val="1"/>
    <w:next w:val="1"/>
    <w:qFormat/>
    <w:uiPriority w:val="0"/>
    <w:pPr>
      <w:spacing w:line="360" w:lineRule="auto"/>
      <w:ind w:left="420"/>
      <w:jc w:val="left"/>
    </w:pPr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2026-05-21T07:21:00Z</dcterms:created>
  <dc:creator>但偏偏雨渐渐大到我看你不见</dc:creator>
  <cp:lastModifiedBy>但偏偏雨渐渐大到我看你不见</cp:lastModifiedBy>
  <dcterms:modified xsi:type="dcterms:W3CDTF">2026-05-21T07:22:14Z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D65E9D835EFB421CBA5567D592CDDBAE_11</vt:lpwstr>
  </property>
  <property fmtid="{D5CDD505-2E9C-101B-9397-08002B2CF9AE}" pid="4" name="KSOTemplateDocerSaveRecord">
    <vt:lpwstr>eyJoZGlkIjoiN2FkODNmNWRlY2Y2MzkyM2ExZGJiMDJmOTY2YjhkMzYiLCJ1c2VySWQiOiIyODQ3OTI3MTgifQ==</vt:lpwstr>
  </property>
</Properties>
</file>